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40" w:afterAutospacing="0"/>
        <w:ind w:right="0" w:firstLine="380" w:firstLineChars="200"/>
        <w:jc w:val="both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 xml:space="preserve">附件 1： 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  <w:t>贵州省医疗保险慢特病门诊病种办理标准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一、1 型糖尿病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1.住院或门诊明确诊断；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2.血糖监测报告单：提示空腹血糖≥7.0mmol/L 、随机血糖 ≥ 11. 1mmol/L；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 xml:space="preserve">3.血胰岛素或C 肽检查报告单；                       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4.胰岛素自身免疫抗体(GAD 超过参考范围上限或 GAD 阳性 ) 检查报告单。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同时具备以上条件可办理。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bookmarkStart w:id="0" w:name="_GoBack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二、糖尿病 (并心、脑、肾、周围神经病变及视网膜病变)</w:t>
      </w:r>
    </w:p>
    <w:bookmarkEnd w:id="0"/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(一) 糖尿病并心损害。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1.达到心脏扩大、心肌肥厚诊断标准：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(1) 出院记录明确诊断；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(2) 血糖监测报告单；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(3) 心脏超声检查图像及报告单：提示心脏扩大，即 LA(左心房 ) &gt;35mm 或男性 LV  (左心室 ) &gt;55mm 、女性 LV  (左 心室 ) &gt;50mm；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567" w:leftChars="270" w:right="0" w:firstLine="0" w:firstLineChars="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(4) 心脏超声检查图像及报告单：提示心肌肥厚，即 IVS(室间隔厚度 ) &gt; 12mm 或 LVPW  (左室后壁 ) &gt; 12mm。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以上“ (1)  (2) ”为必备，加其余两项之一可办理。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 xml:space="preserve"> 2.达到冠心病诊断标准：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(1) 出院记录明确诊断；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(2) 血糖监测报告单；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(3) 冠状动脉造影或冠脉 CTA 报告单：提示冠状动脉任一 支血管狭窄程度≥50%；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(4) 心电图图文及报告单：提示心肌梗死 (心肌梗塞) 。 以上 “ ( 1 )  (2) ”为必备，加其余两项之一可办理。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(二) 糖尿病并脑损害。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1.出院记录明确诊断；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2.血糖监测报告单；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3.头颅CT 或MRI 检查报告单：提示脑梗塞 (脑梗死) 、脑 出血或脑软化灶；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4.达到以下神经功能缺失的表现之一：单侧肌力四级及以 下、偏身或肢体感觉障碍、语言障碍或吞咽功能障碍、认知功能 损害、共济失调。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以上同时具备 “1 、2 、3”或 “1 、2 、4”可办理。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(三) 糖尿病并肾损害。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1.出院记录明确诊断；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2.血糖监测报告单；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3.24 小时尿白蛋白排泄量≥300mg/24h；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4. 内生肌酐清除率 (Ccr ) ≤50%；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right="0" w:firstLine="570" w:firstLineChars="3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5.3-6 个月内的两次尿白蛋白/肌酐检查报告单：尿白蛋白/ 肌酐比值≥300mg/g。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以上 “1 、2”为必备，加其余三项之一可办理。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(四) 糖尿病并周围神经病变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1.出院记录明确诊断；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2.血糖监测报告单；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 xml:space="preserve">3.神经电生理检查报告单：提示周围神经损害。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同时具备以上条件可办理。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(五) 糖尿病并视网膜病变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1. 出院记录明确诊断；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2.血糖监测报告单；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3. 眼底荧光造影 (FFA) 检查报告单：提示糖尿病视网膜病 变Ⅲ-Ⅵ期 ( 即增殖期或重度非增殖期糖尿病视网膜病变) 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4. 眼底荧光造影 (FFA)检查报告单提示糖尿病视网膜病变， 同时眼底光学相关断层扫描检查(OCT)检查报告单提示糖尿病 黄斑水肿。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以上“1 、2”为必备，加其余两项之一可办理。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三、原发性高血压 (并心、脑、肾损害)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(一) 原发性高血压并心损害。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1.达到心脏扩大、心肌肥厚诊断标准：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(1) 出院记录明确诊断；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(2) 超声心动图检查提示心脏扩大：LA (左心房) &gt;35mm 或男性 LV  (左心室 ) &gt;55mm 、女性 LV  (左心室 ) &gt;50mm；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( 3 ) 超声心动图检查提示心肌肥厚： IVS  ( 室 间 隔厚 度 ) &gt; 12mm 或 LVPW  (左室后壁 ) &gt; 12mm。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 xml:space="preserve">以上“ (1) ”为必备，加其余两项之一可办理。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2.达到冠心病诊断标准：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(1) 出院记录明确诊断；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(2)冠状动脉造影或冠脉 CTA 报告单提示冠状动脉任一支 血管狭窄程度≥50%；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(3) 心电图图文及报告单：提示心肌梗死 (心肌梗塞) 。 以上 “ ( 1 ) ”为必备，加其余两项之一可办理。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(二) 原发性高血压并脑损害。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1. 出院记录明确诊断；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2.头颅CT 或MRI 检查报告单：提示脑梗塞 (脑梗死) 、脑出血、脑软化灶或中重度脑缺血；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3.达到以下神经功能缺失的表现之一：单侧肌力四级及以 下、偏身或肢体感觉障碍、语言障碍或吞咽功能障碍、认知功能 损害、共济失调。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同时具备以上条件可办理。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 三 ) 原发性高血压并肾损害。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1.出院记录明确诊断；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2.24 小时尿白蛋白排泄量≥0.3g/24h；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3.内生肌酐清除率 (Ccr ) ≤50%；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4.3-6 个月内的两次尿白蛋白/肌酐检查报告单：尿白蛋白/ 肌酐比值≥300mg/g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以上“1”为必备，加其余三项之一可办理。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四、冠心病 (并心肌梗塞、严重心律失常、心脏扩大)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(一) 冠心病并心肌梗塞。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1.经住院或门诊明确诊断；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2.明确诊断为心肌梗死 (心肌梗塞) 的心电图检查图文报告 单及心肌坏死标志物增高的依据;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3.冠状动脉支架手术记录;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4.冠状动脉搭桥手术记录。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以上“1”为必备，加其余三项之一可办理。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(二) 冠心病并严重心律失常。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1. 出院记录中有明确的心肌梗塞 (心肌梗死) 病史或冠状动 脉造影、冠脉 CTA 报告单提示冠状动脉任一支血管狭窄程度≥50%；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2.心电图图文及报告单明确提示以下表现：室性心动过速、 室颤、持续房颤、Ⅱ度Ⅱ型及以上房室传导阻滞，长间歇＞3 秒；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3.植入 ICD 、CRT 或 CRTD 记录。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以上 “1”为必备，加其余两项之一可办理。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(三) 冠心病并心脏扩大。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658" w:leftChars="292" w:right="0" w:hanging="45" w:hangingChars="24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1. 出院记录中有明确的心肌梗塞 (心肌梗死) 病史或冠状动 脉造影、冠脉 CTA 报告单提示冠状动脉任一支血管狭窄程度≥50%；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567" w:leftChars="270" w:right="0" w:firstLine="0" w:firstLineChars="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2.心脏超声检查图像及报告单：提示心脏扩大，即 LA  (左心房 ) &gt;35mm 或男性 LV  (左心室 ) &gt;55mm 、女性 LV  (左心室 ) &gt;50mm。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right="0" w:firstLine="570" w:firstLineChars="3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同时具备以上条件可办理。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right="0" w:firstLine="570" w:firstLineChars="300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五、肝硬化代偿期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1. 出院记录明确诊断；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2.满足以下条件之一：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(1) 腹部B 超或 CT 或MRI 等提示肝硬化、腹水；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658" w:leftChars="292" w:right="0" w:hanging="45" w:hangingChars="24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(2) ALT 、TB 正常，瞬时弹性成像值 E&gt; 12.0kPa；ALT ＜ 5ULN 、胆红素正常，瞬时弹性成像值 E&gt; 17.0kPa；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(3) 胃镜提示食管胃底静脉曲张。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同时具备以上条件可办理。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六、肝硬化失代偿期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1. 出院记录明确诊断；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2.肝硬化基础上至少出现以下两种情况：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(1) 腹部B 超或 CT 或MRI 等提示肝硬化、腹水；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(2) 出现消化道出血、肝性脑病、 自发性腹膜炎、肝肾综合征、肝肺综合征、脓毒血症等肝硬化失代偿期并发症之一 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(3) 肝功能急性失代偿 (转氨酶≥10 倍正常上限，血清胆 红素≥5mg/dL 或 85.5umol/L，凝血异常 INR≥ 1.5 或 PTA＜40%) 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同时具备以上条件可办理。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七、肝豆状核变性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1.经住院或门诊明确诊断；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2. 同时具备以下 3 种条件：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(1) K-F 环阳性；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right="0" w:firstLine="570" w:firstLineChars="3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(2) 血清铜蓝蛋白＜0.2g/L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(3) 24 小时尿铜＞ 100ug  (儿童＞40ug) 者。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658" w:leftChars="292" w:right="0" w:hanging="45" w:hangingChars="24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3.ATP7B 基因突变检测，发现 1 -2 个等位基因致病突变。 以上同时具备 “1 、2”、“1 、3”或“2 、3”可办理。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八、艾滋病病毒感染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1.诊断证明；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2.符合下列条件之一：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(1) HIV 抗体筛查试验有反应和 HIV 抗体确证试验阳性；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(2) HIV 抗体筛查试验有反应和核酸定性试验阳性；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(3) HIV 抗体 筛查试验有反 应和核 酸定量试验&gt;5000 CPs/mL。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以上“1”为必备，加“2”中任一项可办理。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九、活动性肺结核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1. 出院记录或门诊病历中有明确的抗结核治疗方案；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2.胸部影像学检查报告单：表述活动性结核病灶或胸腔积 液；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3.胸水常规提示胸水为渗出液，生化报告单提示腺苷脱氨酶 增高；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4.痰或胸水检查报告单：找到结核分枝杆菌；或肺、胸膜活 检病理诊断结核。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以上 “1”为必备，加其余三项之一可办理。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十、尘肺病理性 (非工伤)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1.CT 报告单：提示尘肺；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2.胸片报告单：提示尘肺；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3.患者提供无工伤保险承诺书。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以上同时具备 “1 、3”或 “2 、3”可办理。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十一、重症肌无力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1.经住院或门诊明确诊断；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2.肌疲劳试验阳性；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3.药物试验阳性；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4.神经电生理检测阳性；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5. 重症肌无力相关抗体 ( AchR-Ab 、Musk-Ab 或 LRP4-Ab 等 ) 检测阳性。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以上 “1”为必备，加其余任意两项可办理。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十二、帕金森病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1.经住院或门诊明确诊断；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2.进行性运动迟缓；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3.静止性震颤；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4.肌强直或肌张力增高。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以上同时具备 “1 、2 、3”或 “1 、2 、4”可办理。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十三、脑卒中 (脑出血、脑梗死、蛛网膜下腔出血) 无后遗症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1.有影像学支持的脑梗死 (脑梗塞) 、脑出血、蛛网膜下腔出血诊断；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2.经住院明确诊断为脑梗死或脑出血或蛛网膜下腔出血。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同时具备以上条件可办理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right="0" w:firstLine="570" w:firstLineChars="300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十四、脑卒中 (脑出血、脑梗死、蛛网膜下腔出血) 后遗症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1.有影像学支持的脑梗塞 (脑梗死) 、脑出血、蛛网膜下腔 出血诊断；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2.达到以下神经功能缺失的表现之一：单侧肌力四级及以 下、偏身或肢体感觉障碍、语言障碍或吞咽功能障碍、认知功能 障碍、共济失调；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3.经住院明确诊断为脑梗死或脑出血或蛛网膜下腔出血。 同时具备以上条件可办理。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十五、阿尔茨海默病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1.经住院或门诊明确诊断；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2.有近记忆力下降的症状，神经心理评估提示有情景记忆障 碍；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3.CT 或MRI 扫描显示内侧颞叶萎缩；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4.具备以下任何一条：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(1) PET-CT 成像显示颞叶内侧或顶枕叶葡萄糖摄取降低；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(2) 脑脊液中β-淀粉样蛋白 42 (Aβ42) 水平降低以及磷酸 化 tau 蛋白 (P-tau ) 或总 tau 蛋白 (T-tau ) 水平升高；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(3) PET-CT 成像显示脑中存在 Aβ沉积；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(4) 直系亲属中有已证实的常染色体显性遗传突变导致的 阿尔茨海默病。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以上同时具备 “1 、2 、3”或 “1 、3 、4”可办理。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十六、风湿性心脏病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1.经住院或门诊明确诊断；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2.超声心动图显示累及心脏瓣膜损害；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 xml:space="preserve">3.血浆 BNP 检测报告提示心功能不全Ⅲ级及Ⅲ级以上；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4. 出院记录证明已行外科手术或介入手术。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以上同时满足 “1 、2 、3”或 “1 、2 、4”可办理。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十七、扩张型心肌病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1.经住院或门诊明确诊断；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2.超声心动图显示左室舒张末期内径 ( LVEDd) ：LVEDd ﹥50mm(女性) ，LVEDd﹥55mm(男性)；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3.超声心动图显示 LVEF ＜45%。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同时具备以上条件可办理。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十八、青光眼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 xml:space="preserve">1.经住院或门诊明确诊断；                            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2.根据影像学检查 (如眼底照相，眼底 OCT 或 OCTA，眼前节 OCT ，UBM ，B 超等) 其中之一结果符合青光眼的改变；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3.视野检查：结果提示青光眼视野损害；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4. 眼压监测记录；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5.房角检查结果异常：静态房角镜检查发现房角狭窄≥180°、 或房角后退；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6.视觉电生理检查 ( ERG 、VEP) 结果异常；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7. 眼前节照相结果异常：周边前房深度小于等于 1/4CT 或角 膜水肿或晶状体移位。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以上 “1 、2 、3”为必备，加其余四项之一可办理。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十九、慢性阻塞性肺疾病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1.经住院或门诊明确诊断；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2.胸部影像学提示慢支炎/肺气肿改变；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3. 肺 功 能 检 查 报 告 单 ：  提 示 阻 塞 性 通 气 功 能 障 碍 (FEV1/FVC&lt;70%) (如因多发肺大泡不宜肺功能检查，需提供 胸部CT 有肺大泡报告单) 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同时具备以上条件可办理。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二十、骨髓增生异常综合征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1.经住院或门诊明确诊断；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2.骨髓细胞学、骨髓流式细胞学或骨髓活检明确诊断为骨髓 增生异常综合征；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3.MDS 相关基因突变或二代测序检测出有明确诊断意义的 基因突变；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4.染色体检测出有明确诊断意义的染色体改变。 以上同时具备 “1 、2”或 “1 、3 、4”可办理。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二十一、耐多药肺结核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1. 出院记录中有明确二线抗结核治疗方案；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2.影像学检查：显示活动性肺结核病变特征；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3.药物敏感实验或分子生物学检查证实至少对异烟肼和利 福平耐药；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同时具备以上条件可办理。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二十二、器官移植术后抗排异治疗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1.经住院明确诊断；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2.器官移植的相关记录资料；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3.提供需使用抗排异药物的证明资料。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同时具备以上条件可办理。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二十三、系统性红斑狼疮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 xml:space="preserve">1.经住院或门诊明确诊断；                        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 xml:space="preserve">2.免疫学检查抗核抗体 (ANA) 阳性且滴度＞ 1 ︰ 100；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 xml:space="preserve">3.免疫学检查抗心磷脂抗体阳性；                 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right="0" w:firstLine="570" w:firstLineChars="3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4.免疫学检查抗核小体抗体 (AnuA) 阳性；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5.免疫学检查抗 Sm 抗体阳性；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 xml:space="preserve">6.免疫学检查抗双链 DNA 抗体 (dsDNA) 阳性；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 xml:space="preserve">7.免疫学检查低补体血症：C3 或 C4 降低；    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8. 肾活检报告单证实为狼疮性肾炎。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以上 “1 、2”为必备，加其余六项之一可办理。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二十四、再生障碍性贫血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1.经住院或门诊明确诊断；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2.血常规：全血细胞减少；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 xml:space="preserve">3. 骨髓常规检查报告：多处骨髓增生减低或重度减低；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4. 骨髓病理检查报告满足以下条件之一：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(1) 骨髓全切片增生减低；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(2) 骨髓小粒空虚；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(3) 造血组织减少；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(4) 非造血细胞比例增高；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(5) 巨核细胞明显减少或缺如；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(6) 红系、粒系细胞明显减少。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同时具备以上条件可办理。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二十五、免疫性血小板减少症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经住院或门诊明确诊断；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2. 至少2 次血常规检查示血小板计数减少，血小板＜ 50G/L 以下；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3. 骨髓检查： 巨核细胞数增多或正常、有成熟障碍。 同时具备以上条件可办理。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二十六、噬血细胞综合征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1.经住院或门诊明确诊断；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2.分子诊断符合噬血细胞综合征，如 PRF1 、UNC13D、 STX11 、STXBP2 、Rab27a 、LYST 、SH2D1A 、BIRC4 、ITK、 AP3B1 、MAGT1 、CD27 等发现病理性突变；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3.符合以下 8 条指标中的 5 条：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(1) 发热：体温＞38.5℃，持续＞7 天；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(2) 脾大；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(3) 血细胞减少 (累及外周血两系或三系) ：血红蛋白 ＜90g/L，血小板＜ 100×109/L， 中性粒细胞＜ 1.0×109/L；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(4) 高三酰甘油血症或低纤维蛋白血症：三酰甘油＞ 3mmol/L，纤维蛋白原＜ 1.5g/L；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(5) 在骨髓、脾脏、肝脏或淋巴结中找到噬血细胞；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(6) NK 细胞活性降低或缺如；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(7) 血清铁蛋白升高：铁蛋白≥500μg/L；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(8) sCD25(可溶性白介素-2 受体) 升高。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以上同时满足 “1 、2”或 “1 、3”可办理。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二十七、肺间质病抗纤维化治疗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1.经住院或门诊明确诊断；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 xml:space="preserve">2.CT 报告单：提示典型特发性肺纤维化表现；        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3.肺功能报告：提示限制性通气功能障碍、弥散量降低；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4.血气分析提示：PaO2≤60mmHg  (不吸氧 ) 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同时具备以上条件可办理。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二十八、血友病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 xml:space="preserve">出院记录或门诊病历记录中明确提示有出血倾向；       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 xml:space="preserve">2.FⅧ (凝血因子 8 ) 、FⅨ (凝血因子 9) 活性水平&lt;50%。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582" w:leftChars="0" w:right="0" w:rightChars="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同时具备以上条件可办理。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二十九、强直性脊柱炎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1.经住院或门诊明确诊断；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2.影像学提示骶髂关节炎：单侧骶髂关节炎 III~IV 级或双侧 骶髂关节炎 II~IV 级；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3.HLA-B27 阳性；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4. 门诊病历或住院记录中有以下特征：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(1) 炎性背痛；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(2) 关节炎；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(3) 附着点炎 (跟腱或足底筋膜疼痛或压痛) 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(4) 前葡萄膜炎；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(5) 指炎；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(6) 银屑病；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(7) 克罗恩病或溃疡性结肠炎；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(8) 对非甾体类消炎药反应好；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(9) 强直性脊柱炎家族史；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(10) CRP 升高。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以上同时具备“1、2”及“4”中的任一项或“1、3”及“4” 中的任两项可办理。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三十、神经系统良性肿瘤放化疗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(一) 垂体泌乳素腺瘤 (PRL 腺瘤 )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 xml:space="preserve"> 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1.经住院或门诊明确诊断；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2.住院或门诊资料记载有以下垂体性内分泌功能改变的表 现之一：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(1) 女性泌乳素腺瘤：典型的闭经、泌乳、不育三联症；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(2) 男性泌乳素腺瘤：早期性欲低下、阳痿、早泄、毛发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稀疏、睾丸小等，晚期出现头痛、视力视野障碍。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3. 内分泌学检查：血浆 PRL 值&gt;30ug/ml；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4.头颅CT 或MRI 检查报告单：提示垂体占位。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同时具备以上条件可办理。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 xml:space="preserve">(二) 垂体生长激素腺瘤 (GH 腺瘤)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1.经住院或门诊明确诊断；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2.住院或门诊资料记载有巨人症或肢端肥大症表现；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 xml:space="preserve">3. 内分泌检查：血浆 GH&gt;3ug/L，IGF- 1 增高；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 xml:space="preserve">4.头颅CT 或MRI 检查报告单：提示垂体占位。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同时具备以上条件可办理。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 xml:space="preserve">(三) 垂体促肾上腺皮质激素腺瘤 (ACTH 腺瘤)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1.经住院或门诊明确诊断；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2.住院或门诊资料记载有以下表现之一：向心性肥胖、痤疮、 多毛、多血质面容、紫纹、满月脸、水牛背、高血压、骨质疏松等；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3. 内分泌学检查：ACTH&gt;80pg/ml；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 xml:space="preserve">4.头颅CT 或MRI 检查报告单：提示垂体占位。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同时具备以上条件可办理。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(四) 无功能垂体腺瘤。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1.经住院或门诊明确诊断；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2.住院或门诊资料记载有垂体功能低下表现：乏力、怕冷、 多汗、性欲减退、男性出现阳痿、早泄等，或伴有鞍区压迫症状： 视力减退、视野缺损；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3. 内分泌学检查：有垂体功能激素水平低下，出现中度高泌 乳素血症；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4.头颅CT 或MRI 检查报告单：提示垂体占位。 同时具备以上条件可办理。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(五) 颅咽管瘤。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1.经住院或门诊明确诊断；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2.住院或门诊资料记载有以下表现之一：发育停滞、侏儒症、尿崩症、视野为单眼或双眼颞侧偏盲；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3.影像学：头颅 CT 示蝶鞍正常或呈盆性扩大，鞍上有低密 度囊性占位，或 MRI 示鞍上、鞍内囊性肿物；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4.病理报告单。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同时具备以上条件可办理。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(六) 脑膜瘤。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1.经住院或门诊明确诊断；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2.头颅 MR 或CT 检查：提示颅内占位、病灶均匀强化，边 界清楚；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3.MRS 提示良性肿瘤。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同时具备以上条件可办理。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(七) 脊索瘤。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1.经住院或门诊明确诊断；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2.CT 骨窗可见局限性骨质破坏，肿瘤中不见钙化、骨化表 现；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3.病理报告单。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同时具备以上条件可办理。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(八) 脉络丛乳头状瘤。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 xml:space="preserve">1.经住院或门诊明确诊断；                            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 xml:space="preserve">2.脑积水、颅内压增高和与肿瘤部位相关的神经功能异常 ；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3.病理报告单。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同时具备以上条件可办理。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(九) 脊髓空洞症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 xml:space="preserve">1.经住院或门诊明确诊断；                 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2.神经系统检查 ( 常有分离性感觉障碍体征) 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 xml:space="preserve">3.CT 或MR 检查提示脊髓内 T2WI 高信号、T1WI 低信号。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同时具备以上条件可办理。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(十) 听神经瘤。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 xml:space="preserve">经住院或门诊明确诊断；                             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住院或门诊资料记载有以下表现之一：持续的高调样耳鸣，急性加重的听力下降乃至耳聋、眩晕、平衡障碍等表现；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3. 电生理学检查：存在听力损害表现；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4.神经影像学：CT 检查发现内听道呈锥形或者漏斗形扩大， 增强的磁共振检查发现以内听道为中心的桥小脑角区肿瘤呈明 显强化，见到T 状或锥形。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以上同时具备 “1 、2 、3”或 “1 、3 、4”可办理。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三十一、类风湿性关节炎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1.关节受累 (关节肿) 情况及积分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(1) 1 个大关节 (0 分) 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(2) 2 — 10 个大关节 ( 1 分) 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(3) 1 —3 个小关节 (有或无大关节受累 )  ( 1 分) 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(4) 4 — 10 个小关节 (有或无大关节受累 )  (2 分) 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(5) ﹥ 10 个关节受累 ( 至少有 1 个小关节受累 ) ( 3 分) 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 xml:space="preserve"> 2.血清学检测 ( 至少需要 1 项检测结果) 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(1) 类风湿因子 ( RF ) 和抗环瓜氨酸肽抗体 (ACPA) 均阴性 (0 分) 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(2) RF 或 ACPA 低滴度阳性 (2 分) 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(3) ACPA 高滴度阳性 ( 3 分) 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 xml:space="preserve">(4) RF 和 ACPA 高滴度阳性 (4 分) 。   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3. 急性时相反应 ( 至少需要 1 项检测结果) 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(1) C-反应蛋白 (CRP) 和血沉 (ESR) 均正常 (0 分) 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 xml:space="preserve">CRP 或 ESR 升高 (2 分) 。 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leftChars="0" w:right="0" w:rightChars="0" w:firstLine="158" w:firstLineChars="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病程：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582" w:leftChars="0" w:right="0" w:rightChars="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(1) ﹤ 6 周 (0 分) 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(2) ≧6 周 ( 1 分) 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医生出具的积分评定表显示累计积分≧6，并提供相关检测结果报告可办理。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center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附表类风湿性关节炎积分评定表</w:t>
      </w:r>
    </w:p>
    <w:tbl>
      <w:tblPr>
        <w:tblStyle w:val="4"/>
        <w:tblW w:w="90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9"/>
        <w:gridCol w:w="4877"/>
        <w:gridCol w:w="1219"/>
        <w:gridCol w:w="125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09" w:hRule="atLeast"/>
        </w:trPr>
        <w:tc>
          <w:tcPr>
            <w:tcW w:w="170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  <w:t>项目</w:t>
            </w:r>
          </w:p>
        </w:tc>
        <w:tc>
          <w:tcPr>
            <w:tcW w:w="487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  <w:t>具体指标</w:t>
            </w:r>
          </w:p>
        </w:tc>
        <w:tc>
          <w:tcPr>
            <w:tcW w:w="121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  <w:t>指标积分</w:t>
            </w:r>
          </w:p>
        </w:tc>
        <w:tc>
          <w:tcPr>
            <w:tcW w:w="12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  <w:t>患者积分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05" w:hRule="atLeast"/>
        </w:trPr>
        <w:tc>
          <w:tcPr>
            <w:tcW w:w="1709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right="0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  <w:t>1.关节受累  (关节肿)情况</w:t>
            </w:r>
          </w:p>
        </w:tc>
        <w:tc>
          <w:tcPr>
            <w:tcW w:w="487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  <w:t>1 个大关节</w:t>
            </w:r>
          </w:p>
        </w:tc>
        <w:tc>
          <w:tcPr>
            <w:tcW w:w="121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  <w:t>0</w:t>
            </w:r>
          </w:p>
        </w:tc>
        <w:tc>
          <w:tcPr>
            <w:tcW w:w="12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7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</w:p>
        </w:tc>
        <w:tc>
          <w:tcPr>
            <w:tcW w:w="487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  <w:t>2 — 10 个大关节</w:t>
            </w:r>
          </w:p>
        </w:tc>
        <w:tc>
          <w:tcPr>
            <w:tcW w:w="121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  <w:t>1</w:t>
            </w:r>
          </w:p>
        </w:tc>
        <w:tc>
          <w:tcPr>
            <w:tcW w:w="12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7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</w:p>
        </w:tc>
        <w:tc>
          <w:tcPr>
            <w:tcW w:w="487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  <w:t>1 —3 个小关节 (有或无大关节受累)</w:t>
            </w:r>
          </w:p>
        </w:tc>
        <w:tc>
          <w:tcPr>
            <w:tcW w:w="121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  <w:t>1</w:t>
            </w:r>
          </w:p>
        </w:tc>
        <w:tc>
          <w:tcPr>
            <w:tcW w:w="12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7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</w:p>
        </w:tc>
        <w:tc>
          <w:tcPr>
            <w:tcW w:w="487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  <w:t>4 — 10 个小关节 (有或无大关节受累)</w:t>
            </w:r>
          </w:p>
        </w:tc>
        <w:tc>
          <w:tcPr>
            <w:tcW w:w="121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  <w:t>2</w:t>
            </w:r>
          </w:p>
        </w:tc>
        <w:tc>
          <w:tcPr>
            <w:tcW w:w="12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05" w:hRule="atLeast"/>
        </w:trPr>
        <w:tc>
          <w:tcPr>
            <w:tcW w:w="1709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</w:p>
        </w:tc>
        <w:tc>
          <w:tcPr>
            <w:tcW w:w="487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  <w:t>&gt;10 个关节受累 (至少有 1 个小关节受累)</w:t>
            </w:r>
          </w:p>
        </w:tc>
        <w:tc>
          <w:tcPr>
            <w:tcW w:w="121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  <w:t>3</w:t>
            </w:r>
          </w:p>
        </w:tc>
        <w:tc>
          <w:tcPr>
            <w:tcW w:w="12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804" w:hRule="atLeast"/>
        </w:trPr>
        <w:tc>
          <w:tcPr>
            <w:tcW w:w="1709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right="0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  <w:t>2.血清学检测 ( 至少需要 1 项检测结果)</w:t>
            </w:r>
          </w:p>
        </w:tc>
        <w:tc>
          <w:tcPr>
            <w:tcW w:w="487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  <w:t>类风 湿因 子 ( RF ) 和抗环瓜 氨 酸肽抗体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  <w:t>(ACPA) 均阴性</w:t>
            </w:r>
          </w:p>
        </w:tc>
        <w:tc>
          <w:tcPr>
            <w:tcW w:w="121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  <w:t>0</w:t>
            </w:r>
          </w:p>
        </w:tc>
        <w:tc>
          <w:tcPr>
            <w:tcW w:w="12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05" w:hRule="atLeast"/>
        </w:trPr>
        <w:tc>
          <w:tcPr>
            <w:tcW w:w="17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</w:p>
        </w:tc>
        <w:tc>
          <w:tcPr>
            <w:tcW w:w="487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  <w:t>RF 或ACPA 低滴度阳性</w:t>
            </w:r>
          </w:p>
        </w:tc>
        <w:tc>
          <w:tcPr>
            <w:tcW w:w="121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  <w:t>2</w:t>
            </w:r>
          </w:p>
        </w:tc>
        <w:tc>
          <w:tcPr>
            <w:tcW w:w="12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05" w:hRule="atLeast"/>
        </w:trPr>
        <w:tc>
          <w:tcPr>
            <w:tcW w:w="17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</w:p>
        </w:tc>
        <w:tc>
          <w:tcPr>
            <w:tcW w:w="487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  <w:t>ACPA 高滴度阳性</w:t>
            </w:r>
          </w:p>
        </w:tc>
        <w:tc>
          <w:tcPr>
            <w:tcW w:w="121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  <w:t>3</w:t>
            </w:r>
          </w:p>
        </w:tc>
        <w:tc>
          <w:tcPr>
            <w:tcW w:w="12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05" w:hRule="atLeast"/>
        </w:trPr>
        <w:tc>
          <w:tcPr>
            <w:tcW w:w="1709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</w:p>
        </w:tc>
        <w:tc>
          <w:tcPr>
            <w:tcW w:w="487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  <w:t>RF 和 ACPA 高滴度阳性</w:t>
            </w:r>
          </w:p>
        </w:tc>
        <w:tc>
          <w:tcPr>
            <w:tcW w:w="121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  <w:t>4</w:t>
            </w:r>
          </w:p>
        </w:tc>
        <w:tc>
          <w:tcPr>
            <w:tcW w:w="12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14" w:hRule="atLeast"/>
        </w:trPr>
        <w:tc>
          <w:tcPr>
            <w:tcW w:w="1709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right="0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  <w:t>3. 急性时相反 应 ( 至少需要 1 项检测结果)</w:t>
            </w:r>
          </w:p>
        </w:tc>
        <w:tc>
          <w:tcPr>
            <w:tcW w:w="487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  <w:t>C-反应蛋白 (CRP) 和血沉 (ESR) 均正常</w:t>
            </w:r>
          </w:p>
        </w:tc>
        <w:tc>
          <w:tcPr>
            <w:tcW w:w="121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  <w:t>0</w:t>
            </w:r>
          </w:p>
        </w:tc>
        <w:tc>
          <w:tcPr>
            <w:tcW w:w="12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84" w:hRule="atLeast"/>
        </w:trPr>
        <w:tc>
          <w:tcPr>
            <w:tcW w:w="1709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</w:p>
        </w:tc>
        <w:tc>
          <w:tcPr>
            <w:tcW w:w="487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  <w:t>CRP 或ESR 升高</w:t>
            </w:r>
          </w:p>
        </w:tc>
        <w:tc>
          <w:tcPr>
            <w:tcW w:w="121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  <w:t>2</w:t>
            </w:r>
          </w:p>
        </w:tc>
        <w:tc>
          <w:tcPr>
            <w:tcW w:w="12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04" w:hRule="atLeast"/>
        </w:trPr>
        <w:tc>
          <w:tcPr>
            <w:tcW w:w="1709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right="0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  <w:t>4.病程</w:t>
            </w:r>
          </w:p>
        </w:tc>
        <w:tc>
          <w:tcPr>
            <w:tcW w:w="487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  <w:t>&lt;6 周</w:t>
            </w:r>
          </w:p>
        </w:tc>
        <w:tc>
          <w:tcPr>
            <w:tcW w:w="121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  <w:t>0</w:t>
            </w:r>
          </w:p>
        </w:tc>
        <w:tc>
          <w:tcPr>
            <w:tcW w:w="12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05" w:hRule="atLeast"/>
        </w:trPr>
        <w:tc>
          <w:tcPr>
            <w:tcW w:w="1709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</w:p>
        </w:tc>
        <w:tc>
          <w:tcPr>
            <w:tcW w:w="487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  <w:t>≧6 周</w:t>
            </w:r>
          </w:p>
        </w:tc>
        <w:tc>
          <w:tcPr>
            <w:tcW w:w="121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  <w:t>1</w:t>
            </w:r>
          </w:p>
        </w:tc>
        <w:tc>
          <w:tcPr>
            <w:tcW w:w="12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09" w:hRule="atLeast"/>
        </w:trPr>
        <w:tc>
          <w:tcPr>
            <w:tcW w:w="7805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  <w:t>患者最终积分</w:t>
            </w:r>
          </w:p>
        </w:tc>
        <w:tc>
          <w:tcPr>
            <w:tcW w:w="12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320" w:lineRule="exact"/>
              <w:ind w:left="424" w:right="0" w:firstLine="158"/>
              <w:jc w:val="both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9"/>
                <w:szCs w:val="19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三十二、恶性肿瘤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1、病理报告单；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 xml:space="preserve"> 2、病理报告单已超过两年的或无法提供病理资料的，需提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供近两年内的放、化疗资料。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具备以上任意一条可办理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三十三、慢性肾衰竭：同时具备以下条件可办理：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677" w:leftChars="0" w:right="0" w:firstLine="0" w:firstLineChars="0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血肌酐（Scr）＞178umol/L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677" w:leftChars="0" w:right="0" w:firstLine="0" w:firstLineChars="0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内生肌酐清除率（Ccr）≤50%（附测算公式及测算内生肌酐清除率的血肌酐报告单）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677" w:leftChars="0" w:right="0" w:firstLine="0" w:firstLineChars="0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一个疗程以上的结肠透析或腹膜透析或血液透析记录 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同时具备以上条件可办理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三十四、重性精神疾病（精神分裂症、分裂情感性障碍、双相情感障碍、偏执性精神病、癫痫性精神病、精神发育迟滞伴发精神障碍）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由二级及以上具备精神病专科资质的医院（贵州医科大学附属医院、贵州省第二人民医院、贵航贵阳医院）提供的疾病证明和病历资料。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三十五、慢性白血病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right="0" w:firstLine="570" w:firstLineChars="300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1、骨髓检查报告单；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2、细胞遗传学检查报告单：提示Ph染色体阳性；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3、基因诊断检查报告单：提示BCR-ABL融合基因阳性。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以上“1“为必备，加其余2项之一为办证条件。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三十六、支气管哮喘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1、支气管舒张试验阳性或支气管激发试验阳性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2、提供两年内，每年两次及以上糖皮质激素、茶碱类或ß受体激动剂等药物规则治疗的门诊病历。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同时具备以上条件可办理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 xml:space="preserve"> 三十七、甲亢（并浸润性突眼、严重心律失常、心脏扩大）：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 xml:space="preserve"> 1、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 xml:space="preserve">TSH（促甲状腺激素）、FT3（游离T3）、FT4（游离T4）检查报告单；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 xml:space="preserve"> 2、TSH（促甲状腺激素）、TT3（总三碘甲状腺原氨酸）、TT4（总甲状腺素）检查报告单；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 xml:space="preserve"> 3、心电图检查图文及报告单；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 xml:space="preserve"> 4、心脏超声检查图像及报告单；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 xml:space="preserve"> 5、浸润性突眼度≥18mm。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>以上”1“或”2“为必备，加其余3项之一为办证条件。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20" w:lineRule="exact"/>
        <w:ind w:left="424" w:right="0" w:firstLine="158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kern w:val="0"/>
          <w:sz w:val="19"/>
          <w:szCs w:val="19"/>
          <w:lang w:val="en-US" w:eastAsia="zh-CN" w:bidi="ar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/>
          <w:b/>
          <w:bCs/>
          <w:color w:val="auto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/>
          <w:b/>
          <w:bCs/>
          <w:color w:val="auto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</w:pPr>
    </w:p>
    <w:sectPr>
      <w:pgSz w:w="11906" w:h="16838"/>
      <w:pgMar w:top="1100" w:right="1800" w:bottom="110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59A946"/>
    <w:multiLevelType w:val="singleLevel"/>
    <w:tmpl w:val="CE59A946"/>
    <w:lvl w:ilvl="0" w:tentative="0">
      <w:start w:val="2"/>
      <w:numFmt w:val="decimal"/>
      <w:suff w:val="space"/>
      <w:lvlText w:val="(%1)"/>
      <w:lvlJc w:val="left"/>
    </w:lvl>
  </w:abstractNum>
  <w:abstractNum w:abstractNumId="1">
    <w:nsid w:val="DD949526"/>
    <w:multiLevelType w:val="singleLevel"/>
    <w:tmpl w:val="DD949526"/>
    <w:lvl w:ilvl="0" w:tentative="0">
      <w:start w:val="1"/>
      <w:numFmt w:val="decimal"/>
      <w:suff w:val="nothing"/>
      <w:lvlText w:val="%1、"/>
      <w:lvlJc w:val="left"/>
      <w:pPr>
        <w:ind w:left="677" w:leftChars="0" w:firstLine="0" w:firstLineChars="0"/>
      </w:pPr>
    </w:lvl>
  </w:abstractNum>
  <w:abstractNum w:abstractNumId="2">
    <w:nsid w:val="3C903B85"/>
    <w:multiLevelType w:val="singleLevel"/>
    <w:tmpl w:val="3C903B8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4A6AD883"/>
    <w:multiLevelType w:val="singleLevel"/>
    <w:tmpl w:val="4A6AD88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638129B2"/>
    <w:multiLevelType w:val="singleLevel"/>
    <w:tmpl w:val="638129B2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lMjI0MGE5Y2U4YmM1YzkyMGM0Y2ZjYmI2MDQxODUifQ=="/>
  </w:docVars>
  <w:rsids>
    <w:rsidRoot w:val="582F6225"/>
    <w:rsid w:val="1C9A4121"/>
    <w:rsid w:val="582F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26</Pages>
  <Words>7220</Words>
  <Characters>8259</Characters>
  <Lines>0</Lines>
  <Paragraphs>0</Paragraphs>
  <TotalTime>2</TotalTime>
  <ScaleCrop>false</ScaleCrop>
  <LinksUpToDate>false</LinksUpToDate>
  <CharactersWithSpaces>9267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2022-11-30T00:47:00Z</dcterms:created>
  <dc:creator>月亮与礼拜</dc:creator>
  <cp:lastModifiedBy>月亮与礼拜</cp:lastModifiedBy>
  <dcterms:modified xsi:type="dcterms:W3CDTF">2022-11-30T00:53:45Z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D188073AC98E48B683320FECCB5F520A</vt:lpwstr>
  </property>
</Properties>
</file>