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41B11">
      <w:pPr>
        <w:pStyle w:val="28"/>
        <w:numPr>
          <w:numId w:val="0"/>
        </w:numPr>
        <w:ind w:leftChars="0"/>
        <w:jc w:val="left"/>
        <w:outlineLvl w:val="0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bookmarkStart w:id="0" w:name="_Toc21219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附件1：网络与数据安全运维服务</w:t>
      </w:r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需求</w:t>
      </w:r>
    </w:p>
    <w:p w14:paraId="27D6DD23">
      <w:pPr>
        <w:pStyle w:val="28"/>
        <w:numPr>
          <w:ilvl w:val="0"/>
          <w:numId w:val="2"/>
        </w:numPr>
        <w:ind w:left="0" w:leftChars="0" w:firstLine="0" w:firstLineChars="0"/>
        <w:jc w:val="both"/>
        <w:outlineLvl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服务要求</w:t>
      </w:r>
    </w:p>
    <w:tbl>
      <w:tblPr>
        <w:tblStyle w:val="2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277"/>
        <w:gridCol w:w="6627"/>
      </w:tblGrid>
      <w:tr w14:paraId="22CD6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68" w:type="pct"/>
            <w:shd w:val="clear" w:color="auto" w:fill="auto"/>
            <w:vAlign w:val="center"/>
          </w:tcPr>
          <w:p w14:paraId="29D3E588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10FADABC">
            <w:pPr>
              <w:widowControl/>
              <w:spacing w:line="480" w:lineRule="exact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服务要求</w:t>
            </w:r>
          </w:p>
        </w:tc>
        <w:tc>
          <w:tcPr>
            <w:tcW w:w="3800" w:type="pct"/>
            <w:shd w:val="clear" w:color="auto" w:fill="auto"/>
            <w:vAlign w:val="center"/>
          </w:tcPr>
          <w:p w14:paraId="66487059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具体描述</w:t>
            </w:r>
          </w:p>
        </w:tc>
      </w:tr>
      <w:tr w14:paraId="5EB45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68" w:type="pct"/>
            <w:shd w:val="clear" w:color="auto" w:fill="auto"/>
            <w:vAlign w:val="center"/>
          </w:tcPr>
          <w:p w14:paraId="19AF6F89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3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1F0D3B6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期限</w:t>
            </w:r>
          </w:p>
        </w:tc>
        <w:tc>
          <w:tcPr>
            <w:tcW w:w="3800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5FB4586">
            <w:pPr>
              <w:widowControl/>
              <w:spacing w:line="480" w:lineRule="exact"/>
              <w:jc w:val="lef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提供网络安全运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服务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，服务周期为一年。</w:t>
            </w:r>
          </w:p>
        </w:tc>
      </w:tr>
      <w:tr w14:paraId="76A21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68" w:type="pct"/>
            <w:shd w:val="clear" w:color="auto" w:fill="auto"/>
            <w:vAlign w:val="center"/>
          </w:tcPr>
          <w:p w14:paraId="64149BD3"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3D7C9C5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质量</w:t>
            </w:r>
          </w:p>
        </w:tc>
        <w:tc>
          <w:tcPr>
            <w:tcW w:w="3800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DE6DFE6">
            <w:pPr>
              <w:widowControl/>
              <w:spacing w:line="48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1、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服务期内，中标方应在充分了解医院现有环境的基础上，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 w:bidi="en-US"/>
              </w:rPr>
              <w:t>及时发现数据与网络安全风险，避免安全事件发生。</w:t>
            </w:r>
          </w:p>
          <w:p w14:paraId="1062B700">
            <w:pPr>
              <w:widowControl/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2、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 w:bidi="en-US"/>
              </w:rPr>
              <w:t>驻场人员能立即响应医院需求，远程专家在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en-US"/>
              </w:rPr>
              <w:t>0.5小时内响应，并在2小时内提出安全问题的解决方案。</w:t>
            </w:r>
          </w:p>
          <w:p w14:paraId="3B02E96A">
            <w:pPr>
              <w:widowControl/>
              <w:spacing w:line="48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en-US"/>
              </w:rPr>
              <w:t>3、服务人员需完成工作后的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3个工作日内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en-US"/>
              </w:rPr>
              <w:t>提供内容丰富、数据准确、可阅读性高的文档报告。</w:t>
            </w:r>
          </w:p>
        </w:tc>
      </w:tr>
      <w:tr w14:paraId="1E68D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68" w:type="pct"/>
            <w:shd w:val="clear" w:color="auto" w:fill="auto"/>
            <w:vAlign w:val="center"/>
          </w:tcPr>
          <w:p w14:paraId="20FA869D"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3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CA5A1B6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内容</w:t>
            </w:r>
          </w:p>
        </w:tc>
        <w:tc>
          <w:tcPr>
            <w:tcW w:w="3800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F9955B9">
            <w:pPr>
              <w:widowControl/>
              <w:spacing w:line="48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日常安全运维服务、安全数据采集与分析、安全设备策略优化、资产梳理服务、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  <w:woUserID w:val="1"/>
              </w:rPr>
              <w:t>重保服务、网络安全事件闭环处置服务、迎检支撑服务、护网防护服务、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bidi="en-US"/>
                <w:woUserID w:val="1"/>
              </w:rPr>
              <w:t>重要网络安全设备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en-US"/>
                <w:woUserID w:val="1"/>
              </w:rPr>
              <w:t>策略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bidi="en-US"/>
                <w:woUserID w:val="1"/>
              </w:rPr>
              <w:t>巡检、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渗透测试服务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 w:bidi="en-US"/>
              </w:rPr>
              <w:t>、终端安全防护、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专家远程支撑服务、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 w:bidi="en-US"/>
              </w:rPr>
              <w:t>整体网络与数据安全风险评估服务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、应急演练服务、安全培训及赛事支撑服务等。</w:t>
            </w:r>
          </w:p>
        </w:tc>
      </w:tr>
      <w:tr w14:paraId="4523F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68" w:type="pct"/>
            <w:shd w:val="clear" w:color="auto" w:fill="auto"/>
            <w:vAlign w:val="center"/>
          </w:tcPr>
          <w:p w14:paraId="10E65FD3"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3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21FAD3C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团队</w:t>
            </w:r>
          </w:p>
        </w:tc>
        <w:tc>
          <w:tcPr>
            <w:tcW w:w="3800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AE253A2">
            <w:pPr>
              <w:widowControl/>
              <w:numPr>
                <w:ilvl w:val="0"/>
                <w:numId w:val="3"/>
              </w:numPr>
              <w:spacing w:line="48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远程支撑人员2 人，提供全年每天7*24 小时在线远程技术支撑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 w:bidi="en-US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该人员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具备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en-US"/>
              </w:rPr>
              <w:t>5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年及以上工作经验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 w:bidi="en-US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信息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安全工程师（软考类中级）及以上证书。</w:t>
            </w:r>
          </w:p>
          <w:p w14:paraId="2C4A5859">
            <w:pPr>
              <w:widowControl/>
              <w:numPr>
                <w:ilvl w:val="0"/>
                <w:numId w:val="3"/>
              </w:numPr>
              <w:spacing w:line="48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安全驻场人员1人，提供5*10小时（工作日8:00-18:00）服务。该人员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具备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3年及以上工作经验，需具备CISP或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信息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安全工程师（软考类中级）及以上证书。</w:t>
            </w:r>
          </w:p>
        </w:tc>
      </w:tr>
      <w:tr w14:paraId="13605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68" w:type="pct"/>
            <w:shd w:val="clear" w:color="auto" w:fill="auto"/>
            <w:vAlign w:val="center"/>
          </w:tcPr>
          <w:p w14:paraId="45972241">
            <w:pPr>
              <w:widowControl/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51E846D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其他</w:t>
            </w:r>
          </w:p>
        </w:tc>
        <w:tc>
          <w:tcPr>
            <w:tcW w:w="3800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DD52064">
            <w:pPr>
              <w:widowControl/>
              <w:spacing w:line="48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en-US"/>
              </w:rPr>
              <w:t>除远程工具及院内现有态势感知、防火墙、网络探针、云蜜罐外，驻场服务人员自带工作期间所需工具。</w:t>
            </w:r>
          </w:p>
        </w:tc>
      </w:tr>
    </w:tbl>
    <w:p w14:paraId="135B3D8B">
      <w:pPr>
        <w:pStyle w:val="28"/>
        <w:numPr>
          <w:numId w:val="0"/>
        </w:numPr>
        <w:ind w:leftChars="0"/>
        <w:jc w:val="both"/>
        <w:outlineLvl w:val="0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p w14:paraId="0EA24671">
      <w:pPr>
        <w:pStyle w:val="28"/>
        <w:numPr>
          <w:ilvl w:val="0"/>
          <w:numId w:val="2"/>
        </w:numPr>
        <w:ind w:left="0" w:leftChars="0" w:firstLine="0" w:firstLineChars="0"/>
        <w:jc w:val="both"/>
        <w:outlineLvl w:val="0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具体所需运维服务内容：</w:t>
      </w:r>
    </w:p>
    <w:tbl>
      <w:tblPr>
        <w:tblStyle w:val="22"/>
        <w:tblW w:w="48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843"/>
        <w:gridCol w:w="1523"/>
        <w:gridCol w:w="3507"/>
        <w:gridCol w:w="1267"/>
        <w:gridCol w:w="1296"/>
      </w:tblGrid>
      <w:tr w14:paraId="5A2BB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11" w:hRule="atLeast"/>
          <w:tblHeader/>
          <w:jc w:val="center"/>
        </w:trPr>
        <w:tc>
          <w:tcPr>
            <w:tcW w:w="499" w:type="pct"/>
            <w:vAlign w:val="center"/>
          </w:tcPr>
          <w:p w14:paraId="71397F51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02" w:type="pct"/>
            <w:vAlign w:val="center"/>
          </w:tcPr>
          <w:p w14:paraId="04A5D91E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服务内容</w:t>
            </w:r>
          </w:p>
        </w:tc>
        <w:tc>
          <w:tcPr>
            <w:tcW w:w="2078" w:type="pct"/>
            <w:vAlign w:val="center"/>
          </w:tcPr>
          <w:p w14:paraId="695A3CE1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详细描述</w:t>
            </w:r>
          </w:p>
        </w:tc>
        <w:tc>
          <w:tcPr>
            <w:tcW w:w="750" w:type="pct"/>
            <w:vAlign w:val="center"/>
          </w:tcPr>
          <w:p w14:paraId="317B0DA1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频率</w:t>
            </w:r>
          </w:p>
        </w:tc>
        <w:tc>
          <w:tcPr>
            <w:tcW w:w="768" w:type="pct"/>
            <w:vAlign w:val="center"/>
          </w:tcPr>
          <w:p w14:paraId="784422B0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10314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2725" w:hRule="atLeast"/>
          <w:jc w:val="center"/>
        </w:trPr>
        <w:tc>
          <w:tcPr>
            <w:tcW w:w="499" w:type="pct"/>
            <w:vMerge w:val="restart"/>
            <w:vAlign w:val="center"/>
          </w:tcPr>
          <w:p w14:paraId="2EBA4F53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2" w:type="pct"/>
            <w:vMerge w:val="restart"/>
            <w:vAlign w:val="center"/>
          </w:tcPr>
          <w:p w14:paraId="2BED8D06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驻场运维服务</w:t>
            </w:r>
          </w:p>
        </w:tc>
        <w:tc>
          <w:tcPr>
            <w:tcW w:w="2078" w:type="pct"/>
            <w:vAlign w:val="center"/>
          </w:tcPr>
          <w:p w14:paraId="723CCBA6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4"/>
                <w:szCs w:val="24"/>
                <w:lang w:bidi="ar"/>
              </w:rPr>
              <w:t>日常安全运维：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kern w:val="0"/>
                <w:sz w:val="24"/>
                <w:szCs w:val="24"/>
                <w:lang w:val="zh-CN"/>
              </w:rPr>
              <w:t>根据医院的安全运维管理计划，完成日常维护与监控、网络信息安全策略优化、故障处理、软件补丁与更新、变更支持、网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z w:val="24"/>
                <w:szCs w:val="24"/>
                <w:u w:val="none"/>
                <w:lang w:bidi="ar"/>
              </w:rPr>
              <w:t>络巡检、工程协助等日常运维工作。同时，通过日常的运营周期性运营监测报告，对整体网络安全态势进行分析与呈现，对来自内网、互联网和专线网威胁态势进行分析与呈现，对特定目标遭受网络攻击的态势进行分析与呈现。交付物《安全工作月报》。</w:t>
            </w:r>
          </w:p>
        </w:tc>
        <w:tc>
          <w:tcPr>
            <w:tcW w:w="750" w:type="pct"/>
            <w:vMerge w:val="restart"/>
            <w:vAlign w:val="center"/>
          </w:tcPr>
          <w:p w14:paraId="3C0FD563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1年</w:t>
            </w:r>
          </w:p>
        </w:tc>
        <w:tc>
          <w:tcPr>
            <w:tcW w:w="768" w:type="pct"/>
            <w:vAlign w:val="center"/>
          </w:tcPr>
          <w:p w14:paraId="7F5E5857">
            <w:pPr>
              <w:snapToGrid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</w:p>
        </w:tc>
      </w:tr>
      <w:tr w14:paraId="5D497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jc w:val="center"/>
        </w:trPr>
        <w:tc>
          <w:tcPr>
            <w:tcW w:w="499" w:type="pct"/>
            <w:vMerge w:val="continue"/>
            <w:vAlign w:val="center"/>
          </w:tcPr>
          <w:p w14:paraId="489FA3A8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vMerge w:val="continue"/>
            <w:vAlign w:val="center"/>
          </w:tcPr>
          <w:p w14:paraId="7980FF57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523A0246">
            <w:pPr>
              <w:snapToGrid w:val="0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4"/>
                <w:szCs w:val="24"/>
                <w:lang w:bidi="ar"/>
              </w:rPr>
              <w:t>专项安全运维：</w:t>
            </w:r>
          </w:p>
          <w:p w14:paraId="4F7386AC">
            <w:pPr>
              <w:snapToGrid w:val="0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bidi="ar"/>
              </w:rPr>
              <w:t>1.安全数据采集与分析：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u w:val="none"/>
                <w:lang w:bidi="ar"/>
              </w:rPr>
              <w:t>对我院现有安全监测平台，包括监测平台的数据、骨干链路监测数据及安全设备告警数据等，进行数据分析后检测出威胁并提供响应处置。或投标商自备同类安全工具（需通过医院安全审核），其功能（包括但不限于：威胁检测、日志分析、响应处置、资产管理、统计报表、仪表板和大屏展示等）。</w:t>
            </w:r>
          </w:p>
          <w:p w14:paraId="19ADA707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bidi="ar"/>
              </w:rPr>
              <w:t>2.安全设备策略优化：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u w:val="none"/>
                <w:lang w:bidi="ar"/>
              </w:rPr>
              <w:t>全面梳理当前医院网络安全相关设备系统的安全策略配置，综合安全技术防范手段、当前网络架构、安全风险问题等提出策略配置优化，并对各支撑信息化厂商安全工作提出合理性建议，督促完成整改。输出交付物《安全策略配置表》。</w:t>
            </w:r>
          </w:p>
          <w:p w14:paraId="4947EA89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bidi="ar"/>
              </w:rPr>
              <w:t>3.资产梳理服务：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u w:val="none"/>
                <w:lang w:bidi="ar"/>
              </w:rPr>
              <w:t>对我院的网络拓扑图、业务流程、软件与硬件资产进行梳理，对内外网存活的资产进行梳理，识别资产属性，进行资产应用识别、资产攻击面分析、资产变更分析、资产异常连接分析，发现资产异常行为，建立资产台账。输出交付物《资产台账表》。</w:t>
            </w:r>
          </w:p>
          <w:p w14:paraId="4399ABBB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bidi="ar"/>
              </w:rPr>
              <w:t>4.重保服务：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u w:val="none"/>
                <w:lang w:bidi="ar"/>
              </w:rPr>
              <w:t>重要特殊时期对系统的安全状态进行监控，通过明确的职责分工与协作，提供专项的安全服务，能在各种异常情况下快速应对，快速处理，使得在活动期间网络系统安全平稳地运行。包括重保前的检查和评估工作、重保中的事中监测、重保后的总结与报告，并及时定位问题，处理问题。输出交付物《重保值守安全监测报告》。</w:t>
            </w:r>
          </w:p>
          <w:p w14:paraId="71748133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bidi="ar"/>
              </w:rPr>
              <w:t>5.网络安全事件闭环处置服务：当发生安全事件或者发现安全风险时，进行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z w:val="24"/>
                <w:szCs w:val="24"/>
                <w:u w:val="none"/>
                <w:lang w:bidi="ar"/>
              </w:rPr>
              <w:t>安全风险、安全事件分析、安全事件处置闭环、安全处置建议提供等工作。输出交付物《安全事件处置报告》。</w:t>
            </w:r>
          </w:p>
          <w:p w14:paraId="2F54D7C8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bidi="ar"/>
              </w:rPr>
              <w:t>6.迎检支撑服务：提供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u w:val="none"/>
                <w:lang w:bidi="ar"/>
              </w:rPr>
              <w:t>监管单位的等保和网络安全相关的检查工作支撑，协助我院完成迎检，包括检查前的准备，检查中的配合，检查后相关报告与整改的配合。</w:t>
            </w:r>
          </w:p>
          <w:p w14:paraId="4BA1747A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bidi="ar"/>
              </w:rPr>
              <w:t>7.护网防护服务：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z w:val="24"/>
                <w:szCs w:val="24"/>
                <w:u w:val="none"/>
                <w:lang w:bidi="ar"/>
              </w:rPr>
              <w:t>通过防守工作与技术方案，做好每年护网前期准备、安全自查整改、正式攻防演习和演习总结等阶段相关工作。保证护网期间，充分利用现有安全检测与防御手段，结合安全监测与分析经验，实时检测与分析攻击行为，快速响应处置，抑制攻击事件，顺利完成护网工作。包括公安部组织开展的护网以及其他单位组织的护网行动。输出：《攻防演练报告》。</w:t>
            </w:r>
          </w:p>
          <w:p w14:paraId="3638E241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8.重要网络安全设备巡检：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bidi="ar"/>
              </w:rPr>
              <w:t>重大活动或者有需要时对院内重要的网络安全设备进行巡检工作，保证网络数据安全。输出《安全设备巡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策略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4"/>
                <w:szCs w:val="24"/>
                <w:lang w:bidi="ar"/>
              </w:rPr>
              <w:t>检报告》。</w:t>
            </w:r>
          </w:p>
          <w:p w14:paraId="142F2F50">
            <w:pPr>
              <w:widowControl w:val="0"/>
              <w:snapToGrid w:val="0"/>
              <w:spacing w:line="240" w:lineRule="auto"/>
              <w:jc w:val="left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9.安全风险/漏洞/事件整改方案支持服务：针对医院存在的安全风险/漏洞/事件提出有效的、可实现的解决方案，协助医院解决问题。</w:t>
            </w:r>
          </w:p>
        </w:tc>
        <w:tc>
          <w:tcPr>
            <w:tcW w:w="750" w:type="pct"/>
            <w:vMerge w:val="continue"/>
            <w:vAlign w:val="center"/>
          </w:tcPr>
          <w:p w14:paraId="02E857A9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14:paraId="23FDF4BB">
            <w:pPr>
              <w:snapToGrid w:val="0"/>
              <w:jc w:val="right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</w:p>
        </w:tc>
      </w:tr>
      <w:tr w14:paraId="0CAD8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jc w:val="center"/>
        </w:trPr>
        <w:tc>
          <w:tcPr>
            <w:tcW w:w="499" w:type="pct"/>
            <w:vAlign w:val="center"/>
          </w:tcPr>
          <w:p w14:paraId="7BB37087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02" w:type="pct"/>
            <w:vAlign w:val="center"/>
          </w:tcPr>
          <w:p w14:paraId="286D94D5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渗透测试服务</w:t>
            </w:r>
          </w:p>
        </w:tc>
        <w:tc>
          <w:tcPr>
            <w:tcW w:w="2078" w:type="pct"/>
            <w:vAlign w:val="center"/>
          </w:tcPr>
          <w:p w14:paraId="1D52A226">
            <w:pPr>
              <w:tabs>
                <w:tab w:val="left" w:pos="11130"/>
              </w:tabs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服务人员通过智能工具扫描与人工测试、分析等手段，以模拟黑客入侵的方式对服务目标系统进行模拟入侵测试，识别服务目标存在的安全风险。渗透测试内容至少包括：信息收集类、配置管理类（HTTP方法测试、应用中间件测试、信息泄露、异常错误等）、认证类（用户枚举、密码猜解、密码重置、密码策略测试等）、会话类（cookie测试、session会话测试等）、授权类（越权访问、路径遍历、任意文件下载、逻辑缺陷测试等）、数据验证类（SQL注入、跨站脚本、代码注入、URL跳转、文件上传测试等、输入输出校验绕过、数据篡改）、系统应用漏洞（溢出、0day漏洞等）。输出《渗透测试报告》。</w:t>
            </w:r>
          </w:p>
        </w:tc>
        <w:tc>
          <w:tcPr>
            <w:tcW w:w="750" w:type="pct"/>
            <w:vAlign w:val="center"/>
          </w:tcPr>
          <w:p w14:paraId="523F8C75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6次/年</w:t>
            </w:r>
          </w:p>
        </w:tc>
        <w:tc>
          <w:tcPr>
            <w:tcW w:w="768" w:type="pct"/>
            <w:vAlign w:val="center"/>
          </w:tcPr>
          <w:p w14:paraId="27481BE6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</w:p>
        </w:tc>
      </w:tr>
      <w:tr w14:paraId="3A937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jc w:val="center"/>
        </w:trPr>
        <w:tc>
          <w:tcPr>
            <w:tcW w:w="499" w:type="pct"/>
            <w:vAlign w:val="center"/>
          </w:tcPr>
          <w:p w14:paraId="72A3FA82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2" w:type="pct"/>
            <w:vAlign w:val="center"/>
          </w:tcPr>
          <w:p w14:paraId="67A8A2FA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专家远程支撑服务</w:t>
            </w:r>
          </w:p>
        </w:tc>
        <w:tc>
          <w:tcPr>
            <w:tcW w:w="2078" w:type="pct"/>
            <w:vAlign w:val="center"/>
          </w:tcPr>
          <w:p w14:paraId="03AD1C67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协助现场人员对重大安全风险、安全事件进行远程支撑分析、安全事件处置闭环、安全处置建议提供等工作。输出交付物《安全事件处置报告》。</w:t>
            </w:r>
          </w:p>
        </w:tc>
        <w:tc>
          <w:tcPr>
            <w:tcW w:w="750" w:type="pct"/>
            <w:vAlign w:val="center"/>
          </w:tcPr>
          <w:p w14:paraId="522D791D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1年</w:t>
            </w:r>
          </w:p>
        </w:tc>
        <w:tc>
          <w:tcPr>
            <w:tcW w:w="768" w:type="pct"/>
            <w:vAlign w:val="center"/>
          </w:tcPr>
          <w:p w14:paraId="1F10A5C3">
            <w:pPr>
              <w:snapToGrid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</w:p>
        </w:tc>
      </w:tr>
      <w:tr w14:paraId="19A9A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jc w:val="center"/>
        </w:trPr>
        <w:tc>
          <w:tcPr>
            <w:tcW w:w="499" w:type="pct"/>
            <w:vAlign w:val="center"/>
          </w:tcPr>
          <w:p w14:paraId="719D3B5D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902" w:type="pct"/>
            <w:vAlign w:val="center"/>
          </w:tcPr>
          <w:p w14:paraId="03D83C72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整体网络与数据风险评估服务</w:t>
            </w:r>
          </w:p>
        </w:tc>
        <w:tc>
          <w:tcPr>
            <w:tcW w:w="2078" w:type="pct"/>
            <w:vAlign w:val="center"/>
          </w:tcPr>
          <w:p w14:paraId="08BFAF40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对医院的硬件、网络、系统、应用程序、第三方服务等内容开展全面的整体性网络与数据风险评估，识别来自内部（人员操作、权限滥用等）、外部（网络攻击、数据泄露、供应链攻击等）、环境（自然灾害、电力中断、硬件故障等）风险，提供可执行的风险处置策略和安全控制措施，输出交付物《整体网络与数据风险评估报告》。</w:t>
            </w:r>
          </w:p>
        </w:tc>
        <w:tc>
          <w:tcPr>
            <w:tcW w:w="750" w:type="pct"/>
            <w:vAlign w:val="center"/>
          </w:tcPr>
          <w:p w14:paraId="3D119B16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1次</w:t>
            </w:r>
          </w:p>
        </w:tc>
        <w:tc>
          <w:tcPr>
            <w:tcW w:w="768" w:type="pct"/>
            <w:vAlign w:val="center"/>
          </w:tcPr>
          <w:p w14:paraId="68754085">
            <w:pPr>
              <w:snapToGrid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1FC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52" w:hRule="atLeast"/>
          <w:jc w:val="center"/>
        </w:trPr>
        <w:tc>
          <w:tcPr>
            <w:tcW w:w="499" w:type="pct"/>
            <w:vAlign w:val="center"/>
          </w:tcPr>
          <w:p w14:paraId="17279E22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pct"/>
            <w:vAlign w:val="center"/>
          </w:tcPr>
          <w:p w14:paraId="138396E0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应急演练服务</w:t>
            </w:r>
          </w:p>
        </w:tc>
        <w:tc>
          <w:tcPr>
            <w:tcW w:w="2078" w:type="pct"/>
            <w:vAlign w:val="center"/>
          </w:tcPr>
          <w:p w14:paraId="76B162E6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演练模拟信息安全攻击事件，通过演练锻炼工作人员的实际处理能力；检验应急处理人员对信息安全事件、应急处理相关制度掌握情况；验证应急处置方案的有效性与可行性，输出交付物《应急演练方案》和《应急演练报告》。</w:t>
            </w:r>
          </w:p>
        </w:tc>
        <w:tc>
          <w:tcPr>
            <w:tcW w:w="750" w:type="pct"/>
            <w:vAlign w:val="center"/>
          </w:tcPr>
          <w:p w14:paraId="5861C6E5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1次</w:t>
            </w:r>
          </w:p>
        </w:tc>
        <w:tc>
          <w:tcPr>
            <w:tcW w:w="768" w:type="pct"/>
            <w:vAlign w:val="center"/>
          </w:tcPr>
          <w:p w14:paraId="2E775854">
            <w:pPr>
              <w:snapToGrid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</w:p>
        </w:tc>
      </w:tr>
      <w:tr w14:paraId="73CF6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jc w:val="center"/>
        </w:trPr>
        <w:tc>
          <w:tcPr>
            <w:tcW w:w="499" w:type="pct"/>
            <w:vAlign w:val="center"/>
          </w:tcPr>
          <w:p w14:paraId="4A615228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2" w:type="pct"/>
            <w:vAlign w:val="center"/>
          </w:tcPr>
          <w:p w14:paraId="0279C915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安全培训及赛事支撑服务</w:t>
            </w:r>
          </w:p>
        </w:tc>
        <w:tc>
          <w:tcPr>
            <w:tcW w:w="2078" w:type="pct"/>
            <w:vAlign w:val="center"/>
          </w:tcPr>
          <w:p w14:paraId="0F088FEA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服务期内组织全院级的网络安全培训，切实提升全院网络安全意识和网络安全防护能力。我院需要参加网络安全比赛时，对比赛学员进行针对性的赛前技能培训。输出交付物《安全培训材料》。</w:t>
            </w:r>
          </w:p>
        </w:tc>
        <w:tc>
          <w:tcPr>
            <w:tcW w:w="750" w:type="pct"/>
            <w:vAlign w:val="center"/>
          </w:tcPr>
          <w:p w14:paraId="35A17ECA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1次</w:t>
            </w:r>
          </w:p>
        </w:tc>
        <w:tc>
          <w:tcPr>
            <w:tcW w:w="768" w:type="pct"/>
            <w:vAlign w:val="center"/>
          </w:tcPr>
          <w:p w14:paraId="509FA08B">
            <w:pPr>
              <w:snapToGrid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</w:p>
        </w:tc>
      </w:tr>
      <w:tr w14:paraId="27A48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jc w:val="center"/>
        </w:trPr>
        <w:tc>
          <w:tcPr>
            <w:tcW w:w="499" w:type="pct"/>
            <w:vAlign w:val="center"/>
          </w:tcPr>
          <w:p w14:paraId="3AEF2DC1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2" w:type="pct"/>
            <w:vAlign w:val="center"/>
          </w:tcPr>
          <w:p w14:paraId="1547CA3E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终端安全防护服务</w:t>
            </w:r>
          </w:p>
        </w:tc>
        <w:tc>
          <w:tcPr>
            <w:tcW w:w="2078" w:type="pct"/>
            <w:vAlign w:val="center"/>
          </w:tcPr>
          <w:p w14:paraId="4973C355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提供2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00个PC终端的安全防护服务，服务要求如下：</w:t>
            </w:r>
          </w:p>
          <w:p w14:paraId="7F1CAE7A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1、提供操作系统屏幕水印功能服务，灵活定义屏幕水印内容，可设置不透明度、生效范围和生效时间段等，如有敏感信息泄露可以通过水印信息辅助做溯源；</w:t>
            </w:r>
          </w:p>
          <w:p w14:paraId="47FCD566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2、提供应用管控服务，包括IM、下载工具、代理工具、办公软件等，并且支持新增自定义应用，辅助客户限制恶意软件、盗版软件的使用，加强正版软件配置规范建设，事前可拦截终端进程运行，事中可结束终端应用的运行，事后可审计进程管控日志；</w:t>
            </w:r>
          </w:p>
          <w:p w14:paraId="6A199A8C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3、提供对停更的系统提供专项防护服务，包括0day漏洞防护、文件防护、暴破入侵防护、系统脆弱点识别和风险端口封堵等多项核心功能；</w:t>
            </w:r>
          </w:p>
          <w:p w14:paraId="4A578E4E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4、提供不同攻击阶段的主要攻击手法检测服务，对包括但不仅限于以下攻击手法精准检测，执行、持久化、权限提升、防御逃逸、凭证窃取、横向移动等攻击手法检测记录。显示事件详情，展示攻击手法对应的高危操作和威胁实体；</w:t>
            </w:r>
          </w:p>
          <w:p w14:paraId="1D91B861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5、提供显示攻击事件命中的ATT&amp;CK相关技术服务，并对此技术做简要说明。便于用户了解攻击者的操作行为和目的，评估整体影响面；</w:t>
            </w:r>
          </w:p>
          <w:p w14:paraId="67703C48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6、提供基于本地缓存信誉检测与全网信誉检测服务，构建全网信誉库的检测引擎，做到内网一台威胁，全网感知并进行针对性查杀，支持处置病毒时选择是否在其它终端上同步处置有效提升查杀效率，减少终端资源开销；</w:t>
            </w:r>
          </w:p>
          <w:p w14:paraId="3A83F9AA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7、针对操作系统，提供实时监控所有非授信驱动及黑客工具的装载、运行等行为的服务,发现风险行为时进行提示和拦截，同时，支持设置敏感时间段，监控敏感时段内可疑驱动的装载、运行等行为，发现风险行为时进行提示和拦截。输出《PC终端威胁分析报告》。</w:t>
            </w:r>
          </w:p>
        </w:tc>
        <w:tc>
          <w:tcPr>
            <w:tcW w:w="750" w:type="pct"/>
            <w:vAlign w:val="center"/>
          </w:tcPr>
          <w:p w14:paraId="6FEAB3EC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1年</w:t>
            </w:r>
          </w:p>
        </w:tc>
        <w:tc>
          <w:tcPr>
            <w:tcW w:w="768" w:type="pct"/>
            <w:vAlign w:val="center"/>
          </w:tcPr>
          <w:p w14:paraId="2A5F90B5">
            <w:pPr>
              <w:snapToGrid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4AA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jc w:val="center"/>
        </w:trPr>
        <w:tc>
          <w:tcPr>
            <w:tcW w:w="499" w:type="pct"/>
            <w:vAlign w:val="center"/>
          </w:tcPr>
          <w:p w14:paraId="0E7B7342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2" w:type="pct"/>
            <w:vAlign w:val="center"/>
          </w:tcPr>
          <w:p w14:paraId="17EE16EB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服务器端安全防护服务</w:t>
            </w:r>
          </w:p>
        </w:tc>
        <w:tc>
          <w:tcPr>
            <w:tcW w:w="2078" w:type="pct"/>
            <w:vAlign w:val="center"/>
          </w:tcPr>
          <w:p w14:paraId="71D20ACF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提供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30个服务器端的安全防护服务，服务要求如下：</w:t>
            </w:r>
          </w:p>
          <w:p w14:paraId="427217E0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1、提供勒索病毒整体防护详情展示，直观展示最近七天勒索病毒防护效果，包括已处置的恶意文件数量、已拦截可疑行为次数、已阻止的未知进程操作次数、已阻止的暴力破解攻击次数 ；</w:t>
            </w:r>
          </w:p>
          <w:p w14:paraId="5D89FFD1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2、提供安全策略一体化配置服务，通过单一策略即可实现不同安全功能的配置，包括：终端病毒查杀的文件扫描配置、文件实时监控的参数配置、WebShell检测和威胁处置方式、暴力破解的威胁处置方式和操作系统白名单信任目录；</w:t>
            </w:r>
          </w:p>
          <w:p w14:paraId="51C80A51">
            <w:pPr>
              <w:snapToGrid w:val="0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3、提供对终端账户信息进行梳理服务，了解账号权限分布概况以及风险账号分布情况，可按照隐藏账号、可疑root权限账号、长期未使用账号、夜间登录、多IP登录进行账号分类查看，支持统计最近一年未修改密码的账户；</w:t>
            </w:r>
          </w:p>
          <w:p w14:paraId="5F2ABD56">
            <w:pPr>
              <w:snapToGrid w:val="0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4、提供展示最新公布的热点漏洞信息服务，并且梳理出其中的高可利用漏洞统一展示在热点漏洞页面，方便运维人员一键对当前已接入的终端进行漏洞检测，同时支持设置热点漏洞定时检测；</w:t>
            </w:r>
          </w:p>
          <w:p w14:paraId="58393B36">
            <w:pPr>
              <w:snapToGrid w:val="0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5、提供展示终端检测到的WebShell事件及事件详情，包括：恶意文件名称，威胁等级，受感染的文件，发现时间，检测引擎，文件类型，文件名，文件Hash值，文件大小，文件创建时间；可配置WebShell实时扫描，一旦发现WebShell文件，可自动隔离或仅上报不隔离；</w:t>
            </w:r>
          </w:p>
          <w:p w14:paraId="7FFD923D">
            <w:pPr>
              <w:snapToGrid w:val="0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7、提供服务器SSH远程登录保护服务，可开启SSH远程登录二次认证，以防止黑客利用弱密码脆弱性对服务器的入侵；支持设置验证码验证或自定义密码验证，支持设置登录认证提示、生效时间段和免二次认证白名单。输出《服务器威胁分析报告》。</w:t>
            </w:r>
          </w:p>
        </w:tc>
        <w:tc>
          <w:tcPr>
            <w:tcW w:w="750" w:type="pct"/>
            <w:vAlign w:val="center"/>
          </w:tcPr>
          <w:p w14:paraId="4346F9F4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1年</w:t>
            </w:r>
          </w:p>
        </w:tc>
        <w:tc>
          <w:tcPr>
            <w:tcW w:w="768" w:type="pct"/>
            <w:vAlign w:val="center"/>
          </w:tcPr>
          <w:p w14:paraId="3341D94B">
            <w:pPr>
              <w:snapToGrid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6AA4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jc w:val="center"/>
        </w:trPr>
        <w:tc>
          <w:tcPr>
            <w:tcW w:w="499" w:type="pct"/>
            <w:vAlign w:val="center"/>
          </w:tcPr>
          <w:p w14:paraId="6F3D6821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2" w:type="pct"/>
            <w:vAlign w:val="center"/>
          </w:tcPr>
          <w:p w14:paraId="256C8BD9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漏洞扫描服务</w:t>
            </w:r>
          </w:p>
        </w:tc>
        <w:tc>
          <w:tcPr>
            <w:tcW w:w="2078" w:type="pct"/>
            <w:vAlign w:val="center"/>
          </w:tcPr>
          <w:p w14:paraId="51F7F72C">
            <w:pPr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每季度开展一次全网漏洞扫描服务，针对系统、设备、应用的脆弱性进行自动化检测，帮助医院侦测、扫描和改善其信息系统面临的风险隐患；侦测某个特定设备的系统配置、系统结构和属性；执行安全评估和漏洞检测。输出《漏扫报告》。</w:t>
            </w:r>
          </w:p>
        </w:tc>
        <w:tc>
          <w:tcPr>
            <w:tcW w:w="750" w:type="pct"/>
            <w:vAlign w:val="center"/>
          </w:tcPr>
          <w:p w14:paraId="46810177">
            <w:pPr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4次/年</w:t>
            </w:r>
          </w:p>
        </w:tc>
        <w:tc>
          <w:tcPr>
            <w:tcW w:w="768" w:type="pct"/>
            <w:vAlign w:val="center"/>
          </w:tcPr>
          <w:p w14:paraId="176F7437">
            <w:pPr>
              <w:snapToGrid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6F6A17EC">
      <w:pPr>
        <w:pStyle w:val="29"/>
        <w:numPr>
          <w:numId w:val="0"/>
        </w:numPr>
        <w:tabs>
          <w:tab w:val="left" w:pos="420"/>
        </w:tabs>
        <w:spacing w:line="360" w:lineRule="auto"/>
        <w:rPr>
          <w:rFonts w:ascii="仿宋_GB2312" w:hAnsi="仿宋_GB2312" w:eastAsia="仿宋_GB2312" w:cs="仿宋_GB2312"/>
          <w:color w:val="auto"/>
          <w:sz w:val="24"/>
          <w:szCs w:val="24"/>
        </w:rPr>
      </w:pPr>
    </w:p>
    <w:sectPr>
      <w:footerReference r:id="rId3" w:type="default"/>
      <w:pgSz w:w="11906" w:h="16838"/>
      <w:pgMar w:top="1440" w:right="1701" w:bottom="1276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9A4EA039-208B-4CE1-A791-5F1B354E171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haroni">
    <w:altName w:val="Yu Gothic UI Semibold"/>
    <w:panose1 w:val="02010803020104030203"/>
    <w:charset w:val="B1"/>
    <w:family w:val="auto"/>
    <w:pitch w:val="default"/>
    <w:sig w:usb0="00000000" w:usb1="00000000" w:usb2="00000000" w:usb3="00000000" w:csb0="00000020" w:csb1="002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font-weight : 400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黑体 Std R">
    <w:altName w:val="黑体"/>
    <w:panose1 w:val="020B0604020202020204"/>
    <w:charset w:val="86"/>
    <w:family w:val="swiss"/>
    <w:pitch w:val="default"/>
    <w:sig w:usb0="00000000" w:usb1="00000000" w:usb2="00000016" w:usb3="00000000" w:csb0="00060007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51269B0-5D46-4C8C-A271-8C6A2E5290D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8E2C1"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CCDC4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CCCDC4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AF2C6F"/>
    <w:multiLevelType w:val="singleLevel"/>
    <w:tmpl w:val="DFAF2C6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2C80D04"/>
    <w:multiLevelType w:val="singleLevel"/>
    <w:tmpl w:val="22C80D0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71CC2751"/>
    <w:multiLevelType w:val="multilevel"/>
    <w:tmpl w:val="71CC2751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NGJlNzJiNzcwODEzMTIzMWEyODc1MTA1M2NkZjUifQ=="/>
  </w:docVars>
  <w:rsids>
    <w:rsidRoot w:val="00FE1A00"/>
    <w:rsid w:val="00012C47"/>
    <w:rsid w:val="00021760"/>
    <w:rsid w:val="0002484C"/>
    <w:rsid w:val="00036D4B"/>
    <w:rsid w:val="000453CC"/>
    <w:rsid w:val="00051FEC"/>
    <w:rsid w:val="00052831"/>
    <w:rsid w:val="000741D4"/>
    <w:rsid w:val="000871BD"/>
    <w:rsid w:val="0008748C"/>
    <w:rsid w:val="000A514E"/>
    <w:rsid w:val="000C2276"/>
    <w:rsid w:val="000D2DD2"/>
    <w:rsid w:val="000D3DC7"/>
    <w:rsid w:val="0011693A"/>
    <w:rsid w:val="001213CA"/>
    <w:rsid w:val="00165DD1"/>
    <w:rsid w:val="00183E6C"/>
    <w:rsid w:val="00192D4A"/>
    <w:rsid w:val="001A301E"/>
    <w:rsid w:val="001A4273"/>
    <w:rsid w:val="001A4EC7"/>
    <w:rsid w:val="001F5867"/>
    <w:rsid w:val="0020277F"/>
    <w:rsid w:val="00207772"/>
    <w:rsid w:val="002169B0"/>
    <w:rsid w:val="00230A3A"/>
    <w:rsid w:val="00231A97"/>
    <w:rsid w:val="00274333"/>
    <w:rsid w:val="002752C2"/>
    <w:rsid w:val="00282EC0"/>
    <w:rsid w:val="00290673"/>
    <w:rsid w:val="002A0C45"/>
    <w:rsid w:val="002B5A89"/>
    <w:rsid w:val="002C05FD"/>
    <w:rsid w:val="002C33A6"/>
    <w:rsid w:val="002C3E58"/>
    <w:rsid w:val="002C5285"/>
    <w:rsid w:val="002D3E7A"/>
    <w:rsid w:val="002E695D"/>
    <w:rsid w:val="00305158"/>
    <w:rsid w:val="00306306"/>
    <w:rsid w:val="00312754"/>
    <w:rsid w:val="00313DD0"/>
    <w:rsid w:val="003249A4"/>
    <w:rsid w:val="0033501B"/>
    <w:rsid w:val="00353F7A"/>
    <w:rsid w:val="00360388"/>
    <w:rsid w:val="0036754B"/>
    <w:rsid w:val="003737FC"/>
    <w:rsid w:val="00382B62"/>
    <w:rsid w:val="00394215"/>
    <w:rsid w:val="003A57A4"/>
    <w:rsid w:val="003E305A"/>
    <w:rsid w:val="003E7683"/>
    <w:rsid w:val="003F4CEE"/>
    <w:rsid w:val="00422480"/>
    <w:rsid w:val="004300A0"/>
    <w:rsid w:val="00463FCA"/>
    <w:rsid w:val="00483EE6"/>
    <w:rsid w:val="00497076"/>
    <w:rsid w:val="004B3D7D"/>
    <w:rsid w:val="004C742D"/>
    <w:rsid w:val="004D1B21"/>
    <w:rsid w:val="004E3637"/>
    <w:rsid w:val="004F2F17"/>
    <w:rsid w:val="004F372C"/>
    <w:rsid w:val="00503B69"/>
    <w:rsid w:val="00511A75"/>
    <w:rsid w:val="005129DF"/>
    <w:rsid w:val="00530156"/>
    <w:rsid w:val="00533695"/>
    <w:rsid w:val="00533D0D"/>
    <w:rsid w:val="00534350"/>
    <w:rsid w:val="005446D2"/>
    <w:rsid w:val="00581E73"/>
    <w:rsid w:val="005952AC"/>
    <w:rsid w:val="005A050A"/>
    <w:rsid w:val="005A0BDB"/>
    <w:rsid w:val="005B3EFB"/>
    <w:rsid w:val="005C3073"/>
    <w:rsid w:val="005D75BA"/>
    <w:rsid w:val="005E28C7"/>
    <w:rsid w:val="005E6C80"/>
    <w:rsid w:val="005F5C8C"/>
    <w:rsid w:val="00644DD2"/>
    <w:rsid w:val="0065586B"/>
    <w:rsid w:val="00660D6C"/>
    <w:rsid w:val="00671B15"/>
    <w:rsid w:val="006C09DE"/>
    <w:rsid w:val="006C2C1B"/>
    <w:rsid w:val="006E3F9A"/>
    <w:rsid w:val="00704DB4"/>
    <w:rsid w:val="00713F8A"/>
    <w:rsid w:val="00720431"/>
    <w:rsid w:val="00720EA9"/>
    <w:rsid w:val="00725958"/>
    <w:rsid w:val="00725ABF"/>
    <w:rsid w:val="007333E1"/>
    <w:rsid w:val="007511D8"/>
    <w:rsid w:val="00774BB5"/>
    <w:rsid w:val="00784D85"/>
    <w:rsid w:val="00792A49"/>
    <w:rsid w:val="00793A33"/>
    <w:rsid w:val="00796C65"/>
    <w:rsid w:val="007979F6"/>
    <w:rsid w:val="007A7ABE"/>
    <w:rsid w:val="007C0BD5"/>
    <w:rsid w:val="007E4E99"/>
    <w:rsid w:val="007F6C45"/>
    <w:rsid w:val="00822B3C"/>
    <w:rsid w:val="008230FD"/>
    <w:rsid w:val="00827B01"/>
    <w:rsid w:val="008379A3"/>
    <w:rsid w:val="00843CC7"/>
    <w:rsid w:val="00845CFD"/>
    <w:rsid w:val="00855AE7"/>
    <w:rsid w:val="00880ACD"/>
    <w:rsid w:val="008828AA"/>
    <w:rsid w:val="00894711"/>
    <w:rsid w:val="008B7B33"/>
    <w:rsid w:val="008C13ED"/>
    <w:rsid w:val="008C66AB"/>
    <w:rsid w:val="008D31A5"/>
    <w:rsid w:val="008F2862"/>
    <w:rsid w:val="0091118E"/>
    <w:rsid w:val="00931965"/>
    <w:rsid w:val="009379EE"/>
    <w:rsid w:val="00952122"/>
    <w:rsid w:val="009575FB"/>
    <w:rsid w:val="00961F14"/>
    <w:rsid w:val="00967D23"/>
    <w:rsid w:val="0098034F"/>
    <w:rsid w:val="009971A6"/>
    <w:rsid w:val="009A56BA"/>
    <w:rsid w:val="009B51BC"/>
    <w:rsid w:val="009B6303"/>
    <w:rsid w:val="009C23FC"/>
    <w:rsid w:val="009C6478"/>
    <w:rsid w:val="009C7245"/>
    <w:rsid w:val="009E69AD"/>
    <w:rsid w:val="00A07590"/>
    <w:rsid w:val="00A27154"/>
    <w:rsid w:val="00A318AB"/>
    <w:rsid w:val="00A3420D"/>
    <w:rsid w:val="00A451CD"/>
    <w:rsid w:val="00A97313"/>
    <w:rsid w:val="00AA055E"/>
    <w:rsid w:val="00AB0C85"/>
    <w:rsid w:val="00AB43BA"/>
    <w:rsid w:val="00AC47BE"/>
    <w:rsid w:val="00AC4995"/>
    <w:rsid w:val="00AE46D4"/>
    <w:rsid w:val="00AE54E6"/>
    <w:rsid w:val="00AE56BC"/>
    <w:rsid w:val="00AE7AD9"/>
    <w:rsid w:val="00AF68EC"/>
    <w:rsid w:val="00B1001C"/>
    <w:rsid w:val="00B137EC"/>
    <w:rsid w:val="00B172D9"/>
    <w:rsid w:val="00B21FFF"/>
    <w:rsid w:val="00B23E5B"/>
    <w:rsid w:val="00B608F3"/>
    <w:rsid w:val="00B65185"/>
    <w:rsid w:val="00B8700E"/>
    <w:rsid w:val="00BC1302"/>
    <w:rsid w:val="00C059E3"/>
    <w:rsid w:val="00C06B9C"/>
    <w:rsid w:val="00C360A0"/>
    <w:rsid w:val="00C52DA0"/>
    <w:rsid w:val="00C84A78"/>
    <w:rsid w:val="00C90C67"/>
    <w:rsid w:val="00CB2947"/>
    <w:rsid w:val="00CB4E11"/>
    <w:rsid w:val="00CC0DF8"/>
    <w:rsid w:val="00CC7346"/>
    <w:rsid w:val="00CD255A"/>
    <w:rsid w:val="00CF1E3D"/>
    <w:rsid w:val="00CF7894"/>
    <w:rsid w:val="00D01B6A"/>
    <w:rsid w:val="00D13FC2"/>
    <w:rsid w:val="00D343BD"/>
    <w:rsid w:val="00D4047E"/>
    <w:rsid w:val="00D635EE"/>
    <w:rsid w:val="00D642F3"/>
    <w:rsid w:val="00D6620E"/>
    <w:rsid w:val="00D7006F"/>
    <w:rsid w:val="00D81371"/>
    <w:rsid w:val="00D93A34"/>
    <w:rsid w:val="00DB30A5"/>
    <w:rsid w:val="00DC31EC"/>
    <w:rsid w:val="00DC7C73"/>
    <w:rsid w:val="00DD6C3D"/>
    <w:rsid w:val="00DE5DCB"/>
    <w:rsid w:val="00DF5D0F"/>
    <w:rsid w:val="00E00409"/>
    <w:rsid w:val="00E11D7D"/>
    <w:rsid w:val="00E20750"/>
    <w:rsid w:val="00E811C8"/>
    <w:rsid w:val="00E97BAF"/>
    <w:rsid w:val="00EA1317"/>
    <w:rsid w:val="00ED004F"/>
    <w:rsid w:val="00ED664B"/>
    <w:rsid w:val="00EE4301"/>
    <w:rsid w:val="00EF0F9E"/>
    <w:rsid w:val="00F24B09"/>
    <w:rsid w:val="00F25A7B"/>
    <w:rsid w:val="00F27EC9"/>
    <w:rsid w:val="00F35634"/>
    <w:rsid w:val="00F47C3C"/>
    <w:rsid w:val="00F57074"/>
    <w:rsid w:val="00F74EEA"/>
    <w:rsid w:val="00F808C8"/>
    <w:rsid w:val="00F8707F"/>
    <w:rsid w:val="00FA0CA2"/>
    <w:rsid w:val="00FD3C57"/>
    <w:rsid w:val="00FE1A00"/>
    <w:rsid w:val="00FE1C88"/>
    <w:rsid w:val="00FE60D5"/>
    <w:rsid w:val="016A7234"/>
    <w:rsid w:val="01BC70BC"/>
    <w:rsid w:val="01F86CD9"/>
    <w:rsid w:val="02E80FF6"/>
    <w:rsid w:val="02FD284D"/>
    <w:rsid w:val="03060C74"/>
    <w:rsid w:val="033330F0"/>
    <w:rsid w:val="05235738"/>
    <w:rsid w:val="057228FE"/>
    <w:rsid w:val="063F1ED3"/>
    <w:rsid w:val="08744BDF"/>
    <w:rsid w:val="09670950"/>
    <w:rsid w:val="09D03623"/>
    <w:rsid w:val="0AD26BD0"/>
    <w:rsid w:val="0B862C93"/>
    <w:rsid w:val="0BBA6DAD"/>
    <w:rsid w:val="0C041240"/>
    <w:rsid w:val="0C6E3009"/>
    <w:rsid w:val="0CB536F6"/>
    <w:rsid w:val="0DCB0190"/>
    <w:rsid w:val="0DF76096"/>
    <w:rsid w:val="0E0E07AB"/>
    <w:rsid w:val="0E15322B"/>
    <w:rsid w:val="0E812471"/>
    <w:rsid w:val="0ED66EC4"/>
    <w:rsid w:val="0EF10940"/>
    <w:rsid w:val="0F182768"/>
    <w:rsid w:val="10BE14B8"/>
    <w:rsid w:val="11FD07C1"/>
    <w:rsid w:val="128E1CB4"/>
    <w:rsid w:val="133253C2"/>
    <w:rsid w:val="1352190A"/>
    <w:rsid w:val="13CA5B3F"/>
    <w:rsid w:val="13DF0834"/>
    <w:rsid w:val="14287E1F"/>
    <w:rsid w:val="14BE1CA3"/>
    <w:rsid w:val="14C75E31"/>
    <w:rsid w:val="15233B66"/>
    <w:rsid w:val="154734F5"/>
    <w:rsid w:val="15981F0D"/>
    <w:rsid w:val="15BE2A4D"/>
    <w:rsid w:val="1611082B"/>
    <w:rsid w:val="165736A6"/>
    <w:rsid w:val="16CE6C8E"/>
    <w:rsid w:val="171952CF"/>
    <w:rsid w:val="17E6AEE9"/>
    <w:rsid w:val="18E13BCB"/>
    <w:rsid w:val="1972506F"/>
    <w:rsid w:val="198621F2"/>
    <w:rsid w:val="1A3B6E0B"/>
    <w:rsid w:val="1A8633F1"/>
    <w:rsid w:val="1AC146C2"/>
    <w:rsid w:val="1AE0667D"/>
    <w:rsid w:val="1B5B79D1"/>
    <w:rsid w:val="1DB75BB1"/>
    <w:rsid w:val="206F7D0E"/>
    <w:rsid w:val="20CA519B"/>
    <w:rsid w:val="21892A9C"/>
    <w:rsid w:val="21A74B95"/>
    <w:rsid w:val="237A5457"/>
    <w:rsid w:val="242C16EC"/>
    <w:rsid w:val="24AA5D21"/>
    <w:rsid w:val="24FA2ECE"/>
    <w:rsid w:val="24FE4B07"/>
    <w:rsid w:val="2513335E"/>
    <w:rsid w:val="26163F63"/>
    <w:rsid w:val="269E4DDB"/>
    <w:rsid w:val="26AD3F94"/>
    <w:rsid w:val="2721742C"/>
    <w:rsid w:val="27337CE7"/>
    <w:rsid w:val="28FB1C49"/>
    <w:rsid w:val="29115E06"/>
    <w:rsid w:val="294C32E2"/>
    <w:rsid w:val="29E55E88"/>
    <w:rsid w:val="29EE5E74"/>
    <w:rsid w:val="2A0A12CD"/>
    <w:rsid w:val="2A1B5CDA"/>
    <w:rsid w:val="2A267428"/>
    <w:rsid w:val="2B6F7364"/>
    <w:rsid w:val="2BE41656"/>
    <w:rsid w:val="2C7D6C88"/>
    <w:rsid w:val="2CBC6DF3"/>
    <w:rsid w:val="2DEA6804"/>
    <w:rsid w:val="2E6E3CFB"/>
    <w:rsid w:val="2F584B44"/>
    <w:rsid w:val="2FE83506"/>
    <w:rsid w:val="2FEA5603"/>
    <w:rsid w:val="30335E7D"/>
    <w:rsid w:val="30FA1075"/>
    <w:rsid w:val="31CD07F0"/>
    <w:rsid w:val="32214672"/>
    <w:rsid w:val="327B5A2A"/>
    <w:rsid w:val="33331FD2"/>
    <w:rsid w:val="33F33F5C"/>
    <w:rsid w:val="33FE564A"/>
    <w:rsid w:val="34327E84"/>
    <w:rsid w:val="344C4197"/>
    <w:rsid w:val="366C0CC6"/>
    <w:rsid w:val="36FF33F8"/>
    <w:rsid w:val="37294698"/>
    <w:rsid w:val="380E28C0"/>
    <w:rsid w:val="38640862"/>
    <w:rsid w:val="393D3FA2"/>
    <w:rsid w:val="39F33E3D"/>
    <w:rsid w:val="3A96323D"/>
    <w:rsid w:val="3BA2257F"/>
    <w:rsid w:val="3D053DF8"/>
    <w:rsid w:val="3D3476C0"/>
    <w:rsid w:val="3DF78B7D"/>
    <w:rsid w:val="3DFFB5DB"/>
    <w:rsid w:val="3E3D172B"/>
    <w:rsid w:val="3EBF7C5B"/>
    <w:rsid w:val="414F4BE3"/>
    <w:rsid w:val="416C39BC"/>
    <w:rsid w:val="4198167F"/>
    <w:rsid w:val="42687F7B"/>
    <w:rsid w:val="43CF6B92"/>
    <w:rsid w:val="4401552D"/>
    <w:rsid w:val="44C9682E"/>
    <w:rsid w:val="45053745"/>
    <w:rsid w:val="45190E99"/>
    <w:rsid w:val="456F4713"/>
    <w:rsid w:val="45B32C10"/>
    <w:rsid w:val="45E4086F"/>
    <w:rsid w:val="460437FD"/>
    <w:rsid w:val="47122FDA"/>
    <w:rsid w:val="48C001F3"/>
    <w:rsid w:val="4A361719"/>
    <w:rsid w:val="4AC609CF"/>
    <w:rsid w:val="4C8725B9"/>
    <w:rsid w:val="4CF035EF"/>
    <w:rsid w:val="50B35C58"/>
    <w:rsid w:val="51126E71"/>
    <w:rsid w:val="51231542"/>
    <w:rsid w:val="518002D4"/>
    <w:rsid w:val="52A42F98"/>
    <w:rsid w:val="534E19FC"/>
    <w:rsid w:val="55E7072E"/>
    <w:rsid w:val="55FF8C45"/>
    <w:rsid w:val="59660D96"/>
    <w:rsid w:val="59760FC2"/>
    <w:rsid w:val="5A085635"/>
    <w:rsid w:val="5A617BDA"/>
    <w:rsid w:val="5AA050E0"/>
    <w:rsid w:val="5AB100A3"/>
    <w:rsid w:val="5AD73437"/>
    <w:rsid w:val="5C07101A"/>
    <w:rsid w:val="5CEE8FAA"/>
    <w:rsid w:val="5D212F82"/>
    <w:rsid w:val="5D622EBA"/>
    <w:rsid w:val="5DF87EB6"/>
    <w:rsid w:val="5F0E0117"/>
    <w:rsid w:val="60121E89"/>
    <w:rsid w:val="60655F75"/>
    <w:rsid w:val="608129B9"/>
    <w:rsid w:val="61BA4586"/>
    <w:rsid w:val="61BF02E0"/>
    <w:rsid w:val="61D63351"/>
    <w:rsid w:val="6354448C"/>
    <w:rsid w:val="636753E9"/>
    <w:rsid w:val="63C94F54"/>
    <w:rsid w:val="63D21542"/>
    <w:rsid w:val="64379B83"/>
    <w:rsid w:val="644D4E69"/>
    <w:rsid w:val="64656A2B"/>
    <w:rsid w:val="649E35AB"/>
    <w:rsid w:val="65150451"/>
    <w:rsid w:val="655A38BB"/>
    <w:rsid w:val="6609788A"/>
    <w:rsid w:val="66C92B1F"/>
    <w:rsid w:val="677F4F7C"/>
    <w:rsid w:val="681D761D"/>
    <w:rsid w:val="684E5A28"/>
    <w:rsid w:val="69B13C73"/>
    <w:rsid w:val="6CBE6744"/>
    <w:rsid w:val="6DFA4688"/>
    <w:rsid w:val="6E1A5E9B"/>
    <w:rsid w:val="6E476AB7"/>
    <w:rsid w:val="6ECEFB2D"/>
    <w:rsid w:val="6FBE7937"/>
    <w:rsid w:val="71223B39"/>
    <w:rsid w:val="717E112C"/>
    <w:rsid w:val="71DB506A"/>
    <w:rsid w:val="727407A5"/>
    <w:rsid w:val="7285473C"/>
    <w:rsid w:val="72D63B3C"/>
    <w:rsid w:val="7399049F"/>
    <w:rsid w:val="74123E03"/>
    <w:rsid w:val="74561EEC"/>
    <w:rsid w:val="7573406D"/>
    <w:rsid w:val="75F82F1C"/>
    <w:rsid w:val="76C577FD"/>
    <w:rsid w:val="770F2A84"/>
    <w:rsid w:val="776D6323"/>
    <w:rsid w:val="77E362C5"/>
    <w:rsid w:val="789364C0"/>
    <w:rsid w:val="79933B93"/>
    <w:rsid w:val="7BD0027A"/>
    <w:rsid w:val="7BEF6E83"/>
    <w:rsid w:val="7BF84F9F"/>
    <w:rsid w:val="7C136915"/>
    <w:rsid w:val="7C1BE3C4"/>
    <w:rsid w:val="7C1C080B"/>
    <w:rsid w:val="7CFB8C34"/>
    <w:rsid w:val="7D6D3FC5"/>
    <w:rsid w:val="7DD6409E"/>
    <w:rsid w:val="7F275C23"/>
    <w:rsid w:val="7F5D6226"/>
    <w:rsid w:val="7FEF6B09"/>
    <w:rsid w:val="7FFEEC13"/>
    <w:rsid w:val="BFBF8378"/>
    <w:rsid w:val="BFBFB92D"/>
    <w:rsid w:val="EBEF37C1"/>
    <w:rsid w:val="EF7E784A"/>
    <w:rsid w:val="EFBF3FF5"/>
    <w:rsid w:val="FBD44208"/>
    <w:rsid w:val="FF1DB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340" w:after="330" w:line="576" w:lineRule="auto"/>
      <w:ind w:left="432" w:hanging="432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9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6">
    <w:name w:val="heading 4"/>
    <w:basedOn w:val="1"/>
    <w:next w:val="1"/>
    <w:unhideWhenUsed/>
    <w:qFormat/>
    <w:uiPriority w:val="9"/>
    <w:pPr>
      <w:keepNext/>
      <w:keepLines/>
      <w:numPr>
        <w:ilvl w:val="3"/>
        <w:numId w:val="1"/>
      </w:numPr>
      <w:spacing w:before="280" w:after="29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9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9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9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9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9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5"/>
    <w:qFormat/>
    <w:uiPriority w:val="0"/>
    <w:pPr>
      <w:spacing w:line="560" w:lineRule="exact"/>
      <w:ind w:firstLine="640" w:firstLineChars="200"/>
    </w:pPr>
    <w:rPr>
      <w:rFonts w:ascii="Calibri" w:hAnsi="Calibri" w:eastAsia="宋体" w:cs="Times New Roman"/>
      <w:snapToGrid w:val="0"/>
      <w:kern w:val="0"/>
      <w:sz w:val="28"/>
      <w:szCs w:val="24"/>
    </w:rPr>
  </w:style>
  <w:style w:type="paragraph" w:styleId="12">
    <w:name w:val="Plain Text"/>
    <w:basedOn w:val="1"/>
    <w:qFormat/>
    <w:uiPriority w:val="0"/>
    <w:pPr>
      <w:spacing w:before="100" w:beforeAutospacing="1" w:after="100" w:afterAutospacing="1" w:line="360" w:lineRule="auto"/>
    </w:pPr>
    <w:rPr>
      <w:rFonts w:ascii="宋体" w:hAnsi="Courier New"/>
      <w:kern w:val="0"/>
      <w:sz w:val="20"/>
      <w:szCs w:val="20"/>
    </w:rPr>
  </w:style>
  <w:style w:type="paragraph" w:styleId="13">
    <w:name w:val="Body Text Indent 2"/>
    <w:basedOn w:val="1"/>
    <w:next w:val="14"/>
    <w:qFormat/>
    <w:uiPriority w:val="0"/>
    <w:pPr>
      <w:widowControl/>
      <w:spacing w:line="360" w:lineRule="exact"/>
      <w:ind w:right="28" w:firstLine="420" w:firstLineChars="200"/>
      <w:jc w:val="left"/>
    </w:pPr>
    <w:rPr>
      <w:rFonts w:ascii="宋体" w:hAnsi="宋体"/>
      <w:kern w:val="0"/>
    </w:rPr>
  </w:style>
  <w:style w:type="paragraph" w:customStyle="1" w:styleId="14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5">
    <w:name w:val="Balloon Text"/>
    <w:basedOn w:val="1"/>
    <w:link w:val="44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semiHidden/>
    <w:unhideWhenUsed/>
    <w:qFormat/>
    <w:uiPriority w:val="39"/>
  </w:style>
  <w:style w:type="paragraph" w:styleId="19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20">
    <w:name w:val="Normal (Web)"/>
    <w:basedOn w:val="1"/>
    <w:qFormat/>
    <w:uiPriority w:val="0"/>
    <w:rPr>
      <w:rFonts w:ascii="Times New Roman" w:hAnsi="Times New Roman"/>
      <w:sz w:val="24"/>
      <w:szCs w:val="24"/>
    </w:rPr>
  </w:style>
  <w:style w:type="paragraph" w:styleId="21">
    <w:name w:val="Body Text First Indent"/>
    <w:basedOn w:val="2"/>
    <w:qFormat/>
    <w:uiPriority w:val="0"/>
    <w:pPr>
      <w:ind w:firstLine="100" w:firstLineChars="100"/>
    </w:pPr>
  </w:style>
  <w:style w:type="table" w:styleId="23">
    <w:name w:val="Table Grid"/>
    <w:basedOn w:val="2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Strong"/>
    <w:basedOn w:val="24"/>
    <w:qFormat/>
    <w:uiPriority w:val="22"/>
    <w:rPr>
      <w:b/>
      <w:bCs/>
    </w:rPr>
  </w:style>
  <w:style w:type="character" w:customStyle="1" w:styleId="26">
    <w:name w:val="页眉 Char"/>
    <w:basedOn w:val="24"/>
    <w:link w:val="17"/>
    <w:qFormat/>
    <w:uiPriority w:val="99"/>
    <w:rPr>
      <w:sz w:val="18"/>
      <w:szCs w:val="18"/>
    </w:rPr>
  </w:style>
  <w:style w:type="character" w:customStyle="1" w:styleId="27">
    <w:name w:val="页脚 Char"/>
    <w:basedOn w:val="24"/>
    <w:link w:val="16"/>
    <w:qFormat/>
    <w:uiPriority w:val="99"/>
    <w:rPr>
      <w:sz w:val="18"/>
      <w:szCs w:val="18"/>
    </w:rPr>
  </w:style>
  <w:style w:type="paragraph" w:customStyle="1" w:styleId="28">
    <w:name w:val="SANGFOR_6_正文"/>
    <w:basedOn w:val="1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</w:rPr>
  </w:style>
  <w:style w:type="paragraph" w:styleId="29">
    <w:name w:val="List Paragraph"/>
    <w:basedOn w:val="1"/>
    <w:qFormat/>
    <w:uiPriority w:val="34"/>
    <w:pPr>
      <w:ind w:firstLine="420" w:firstLineChars="200"/>
    </w:pPr>
  </w:style>
  <w:style w:type="paragraph" w:customStyle="1" w:styleId="30">
    <w:name w:val="正文（深信服科技）"/>
    <w:link w:val="31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31">
    <w:name w:val="正文（深信服科技） Char"/>
    <w:link w:val="30"/>
    <w:qFormat/>
    <w:uiPriority w:val="0"/>
    <w:rPr>
      <w:rFonts w:ascii="Arial" w:hAnsi="Arial" w:eastAsia="宋体" w:cs="Times New Roman"/>
      <w:kern w:val="0"/>
      <w:szCs w:val="21"/>
    </w:rPr>
  </w:style>
  <w:style w:type="paragraph" w:customStyle="1" w:styleId="32">
    <w:name w:val="正文首行缩进（深信服科技）"/>
    <w:basedOn w:val="30"/>
    <w:link w:val="33"/>
    <w:qFormat/>
    <w:uiPriority w:val="0"/>
    <w:pPr>
      <w:spacing w:after="50"/>
      <w:ind w:firstLine="200" w:firstLineChars="200"/>
    </w:pPr>
  </w:style>
  <w:style w:type="character" w:customStyle="1" w:styleId="33">
    <w:name w:val="正文首行缩进（深信服科技） Char"/>
    <w:link w:val="32"/>
    <w:qFormat/>
    <w:uiPriority w:val="0"/>
    <w:rPr>
      <w:rFonts w:ascii="Arial" w:hAnsi="Arial" w:eastAsia="宋体" w:cs="Times New Roman"/>
      <w:kern w:val="0"/>
      <w:szCs w:val="21"/>
    </w:rPr>
  </w:style>
  <w:style w:type="paragraph" w:customStyle="1" w:styleId="34">
    <w:name w:val="正文(备注)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35">
    <w:name w:val="正文文本 Char"/>
    <w:basedOn w:val="24"/>
    <w:link w:val="2"/>
    <w:qFormat/>
    <w:uiPriority w:val="0"/>
    <w:rPr>
      <w:rFonts w:ascii="Calibri" w:hAnsi="Calibri" w:eastAsia="宋体" w:cs="Times New Roman"/>
      <w:snapToGrid w:val="0"/>
      <w:kern w:val="0"/>
      <w:sz w:val="28"/>
      <w:szCs w:val="24"/>
    </w:rPr>
  </w:style>
  <w:style w:type="paragraph" w:customStyle="1" w:styleId="36">
    <w:name w:val="列出段落3"/>
    <w:basedOn w:val="1"/>
    <w:qFormat/>
    <w:uiPriority w:val="0"/>
    <w:pPr>
      <w:spacing w:line="360" w:lineRule="auto"/>
      <w:ind w:firstLine="200" w:firstLineChars="200"/>
      <w:jc w:val="left"/>
    </w:pPr>
    <w:rPr>
      <w:rFonts w:ascii="Times New Roman" w:hAnsi="Times New Roman" w:eastAsia="仿宋_GB2312" w:cs="Times New Roman"/>
      <w:sz w:val="24"/>
    </w:rPr>
  </w:style>
  <w:style w:type="paragraph" w:customStyle="1" w:styleId="37">
    <w:name w:val="表格内文"/>
    <w:basedOn w:val="1"/>
    <w:qFormat/>
    <w:uiPriority w:val="0"/>
    <w:pPr>
      <w:spacing w:line="400" w:lineRule="exact"/>
    </w:pPr>
    <w:rPr>
      <w:rFonts w:ascii="Arial" w:hAnsi="Arial" w:eastAsia="宋体" w:cs="宋体"/>
      <w:szCs w:val="20"/>
    </w:rPr>
  </w:style>
  <w:style w:type="paragraph" w:customStyle="1" w:styleId="38">
    <w:name w:val="文本正文"/>
    <w:basedOn w:val="21"/>
    <w:qFormat/>
    <w:uiPriority w:val="0"/>
    <w:pPr>
      <w:spacing w:line="300" w:lineRule="auto"/>
      <w:ind w:firstLine="200" w:firstLineChars="200"/>
    </w:pPr>
    <w:rPr>
      <w:rFonts w:ascii="Times New Roman" w:hAnsi="Times New Roman"/>
      <w:b/>
      <w:bCs/>
      <w:sz w:val="24"/>
      <w:szCs w:val="20"/>
    </w:rPr>
  </w:style>
  <w:style w:type="paragraph" w:customStyle="1" w:styleId="39">
    <w:name w:val="正文首行缩进（绿盟科技）"/>
    <w:basedOn w:val="1"/>
    <w:qFormat/>
    <w:uiPriority w:val="0"/>
    <w:pPr>
      <w:widowControl/>
      <w:spacing w:after="50" w:line="300" w:lineRule="auto"/>
      <w:ind w:firstLine="200" w:firstLineChars="200"/>
      <w:jc w:val="left"/>
    </w:pPr>
    <w:rPr>
      <w:rFonts w:ascii="Arial" w:hAnsi="Arial" w:eastAsia="宋体" w:cs="Times New Roman"/>
      <w:kern w:val="0"/>
      <w:szCs w:val="21"/>
    </w:rPr>
  </w:style>
  <w:style w:type="paragraph" w:customStyle="1" w:styleId="40">
    <w:name w:val="正文-公1"/>
    <w:basedOn w:val="1"/>
    <w:next w:val="20"/>
    <w:qFormat/>
    <w:uiPriority w:val="0"/>
    <w:pPr>
      <w:widowControl/>
      <w:ind w:firstLine="200" w:firstLineChars="200"/>
    </w:pPr>
    <w:rPr>
      <w:rFonts w:ascii="Times New Roman" w:hAnsi="Times New Roman" w:cs="Aharoni"/>
      <w:color w:val="000000"/>
      <w:kern w:val="1"/>
    </w:rPr>
  </w:style>
  <w:style w:type="paragraph" w:customStyle="1" w:styleId="4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42">
    <w:name w:val="font11"/>
    <w:basedOn w:val="24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43">
    <w:name w:val="font21"/>
    <w:basedOn w:val="24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44">
    <w:name w:val="批注框文本 Char"/>
    <w:basedOn w:val="24"/>
    <w:link w:val="1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45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46">
    <w:name w:val="Default"/>
    <w:next w:val="13"/>
    <w:qFormat/>
    <w:uiPriority w:val="0"/>
    <w:pPr>
      <w:widowControl w:val="0"/>
      <w:autoSpaceDE w:val="0"/>
      <w:autoSpaceDN w:val="0"/>
      <w:adjustRightInd w:val="0"/>
    </w:pPr>
    <w:rPr>
      <w:rFonts w:ascii="Adobe 黑体 Std R" w:hAnsi="Times New Roman" w:eastAsia="Adobe 黑体 Std R" w:cs="Adobe 黑体 Std R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4338</Words>
  <Characters>4685</Characters>
  <Lines>57</Lines>
  <Paragraphs>16</Paragraphs>
  <TotalTime>79</TotalTime>
  <ScaleCrop>false</ScaleCrop>
  <LinksUpToDate>false</LinksUpToDate>
  <CharactersWithSpaces>4779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2023-04-12T10:37:00Z</dcterms:created>
  <dc:creator>Administrator</dc:creator>
  <cp:lastModifiedBy>黄方</cp:lastModifiedBy>
  <dcterms:modified xsi:type="dcterms:W3CDTF">2026-07-13T08:39:35Z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9A8DE2E6F89D45A7A7FB97BF5804E654_13</vt:lpwstr>
  </property>
  <property fmtid="{D5CDD505-2E9C-101B-9397-08002B2CF9AE}" pid="4" name="KSOTemplateDocerSaveRecord">
    <vt:lpwstr>eyJoZGlkIjoiNjQ2NGJlNzJiNzcwODEzMTIzMWEyODc1MTA1M2NkZjUiLCJ1c2VySWQiOiIxNjkxMDk0MTE3In0=</vt:lpwstr>
  </property>
</Properties>
</file>